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D8" w:rsidRPr="00443A3E" w:rsidRDefault="00F431D8" w:rsidP="00F431D8">
      <w:pPr>
        <w:tabs>
          <w:tab w:val="left" w:pos="-2170"/>
          <w:tab w:val="left" w:pos="709"/>
        </w:tabs>
        <w:spacing w:after="0" w:line="240" w:lineRule="auto"/>
        <w:jc w:val="both"/>
        <w:rPr>
          <w:rFonts w:ascii="Arial" w:hAnsi="Arial" w:cs="Arial"/>
        </w:rPr>
      </w:pPr>
    </w:p>
    <w:p w:rsidR="00DB3F88" w:rsidRPr="00464C77" w:rsidRDefault="00DB3F88" w:rsidP="00F431D8">
      <w:pPr>
        <w:tabs>
          <w:tab w:val="left" w:pos="-2170"/>
          <w:tab w:val="left" w:pos="709"/>
        </w:tabs>
        <w:spacing w:after="0" w:line="240" w:lineRule="auto"/>
        <w:ind w:right="-567"/>
        <w:jc w:val="right"/>
        <w:rPr>
          <w:rFonts w:ascii="Arial" w:hAnsi="Arial" w:cs="Arial"/>
          <w:sz w:val="18"/>
          <w:szCs w:val="18"/>
        </w:rPr>
      </w:pPr>
      <w:bookmarkStart w:id="0" w:name="_GoBack"/>
      <w:bookmarkEnd w:id="0"/>
    </w:p>
    <w:tbl>
      <w:tblPr>
        <w:tblW w:w="10414" w:type="dxa"/>
        <w:tblInd w:w="-608"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1247"/>
        <w:gridCol w:w="1492"/>
        <w:gridCol w:w="1965"/>
        <w:gridCol w:w="2827"/>
        <w:gridCol w:w="2883"/>
      </w:tblGrid>
      <w:tr w:rsidR="00DB3F88" w:rsidTr="00DB3F88">
        <w:trPr>
          <w:trHeight w:val="416"/>
        </w:trPr>
        <w:tc>
          <w:tcPr>
            <w:tcW w:w="10414" w:type="dxa"/>
            <w:gridSpan w:val="5"/>
            <w:tcBorders>
              <w:top w:val="single" w:sz="18" w:space="0" w:color="auto"/>
              <w:left w:val="single" w:sz="18" w:space="0" w:color="auto"/>
              <w:bottom w:val="single" w:sz="2" w:space="0" w:color="auto"/>
              <w:right w:val="single" w:sz="18" w:space="0" w:color="auto"/>
            </w:tcBorders>
            <w:vAlign w:val="center"/>
            <w:hideMark/>
          </w:tcPr>
          <w:p w:rsidR="00DB3F88" w:rsidRDefault="00DB3F88">
            <w:pPr>
              <w:jc w:val="center"/>
              <w:rPr>
                <w:rFonts w:ascii="Arial" w:hAnsi="Arial" w:cs="Arial"/>
                <w:b/>
              </w:rPr>
            </w:pPr>
            <w:r>
              <w:rPr>
                <w:rFonts w:ascii="Arial" w:hAnsi="Arial" w:cs="Arial"/>
                <w:b/>
              </w:rPr>
              <w:t>IZVJEŠĆE O PROVEDENOM SAVJETOVANJU S JAVNOŠĆU</w:t>
            </w:r>
          </w:p>
        </w:tc>
      </w:tr>
      <w:tr w:rsidR="00DB3F88" w:rsidTr="00DB3F88">
        <w:trPr>
          <w:trHeight w:val="415"/>
        </w:trPr>
        <w:tc>
          <w:tcPr>
            <w:tcW w:w="10414" w:type="dxa"/>
            <w:gridSpan w:val="5"/>
            <w:tcBorders>
              <w:top w:val="single" w:sz="2" w:space="0" w:color="auto"/>
              <w:left w:val="single" w:sz="18" w:space="0" w:color="auto"/>
              <w:bottom w:val="single" w:sz="2" w:space="0" w:color="auto"/>
              <w:right w:val="single" w:sz="18" w:space="0" w:color="auto"/>
            </w:tcBorders>
            <w:vAlign w:val="center"/>
            <w:hideMark/>
          </w:tcPr>
          <w:p w:rsidR="00DB3F88" w:rsidRDefault="00DB3F88">
            <w:pPr>
              <w:ind w:left="1410" w:hanging="1410"/>
              <w:rPr>
                <w:rFonts w:ascii="Arial" w:hAnsi="Arial" w:cs="Arial"/>
              </w:rPr>
            </w:pPr>
            <w:r>
              <w:rPr>
                <w:rFonts w:ascii="Arial" w:hAnsi="Arial" w:cs="Arial"/>
              </w:rPr>
              <w:t xml:space="preserve">Naziv akta o kojem je savjetovanje provedeno: </w:t>
            </w:r>
          </w:p>
          <w:p w:rsidR="00DB3F88" w:rsidRDefault="00DB3F88">
            <w:pPr>
              <w:rPr>
                <w:rFonts w:ascii="Arial" w:hAnsi="Arial" w:cs="Arial"/>
              </w:rPr>
            </w:pPr>
            <w:r>
              <w:rPr>
                <w:rFonts w:ascii="Arial" w:hAnsi="Arial" w:cs="Arial"/>
              </w:rPr>
              <w:t>Nacrt prijedloga Plana zaštite od požara za područje grada Rijeke.</w:t>
            </w:r>
          </w:p>
        </w:tc>
      </w:tr>
      <w:tr w:rsidR="00DB3F88" w:rsidTr="00DB3F88">
        <w:trPr>
          <w:trHeight w:val="845"/>
        </w:trPr>
        <w:tc>
          <w:tcPr>
            <w:tcW w:w="10414" w:type="dxa"/>
            <w:gridSpan w:val="5"/>
            <w:tcBorders>
              <w:top w:val="single" w:sz="2" w:space="0" w:color="auto"/>
              <w:left w:val="single" w:sz="18" w:space="0" w:color="auto"/>
              <w:bottom w:val="single" w:sz="12" w:space="0" w:color="auto"/>
              <w:right w:val="single" w:sz="18" w:space="0" w:color="auto"/>
            </w:tcBorders>
            <w:vAlign w:val="center"/>
            <w:hideMark/>
          </w:tcPr>
          <w:p w:rsidR="00DB3F88" w:rsidRDefault="00DB3F88">
            <w:pPr>
              <w:rPr>
                <w:rFonts w:ascii="Arial" w:hAnsi="Arial" w:cs="Arial"/>
              </w:rPr>
            </w:pPr>
            <w:r>
              <w:rPr>
                <w:rFonts w:ascii="Arial" w:hAnsi="Arial" w:cs="Arial"/>
              </w:rPr>
              <w:t>Vrijeme trajanja savjetovanja: Savjetovanje je provedeno u trajanju od 30 dana odnosno od 20. lipnja 2024. do 19. srpnja 2024. godine.</w:t>
            </w:r>
          </w:p>
        </w:tc>
      </w:tr>
      <w:tr w:rsidR="00DB3F88" w:rsidTr="00D227A1">
        <w:trPr>
          <w:trHeight w:val="845"/>
        </w:trPr>
        <w:tc>
          <w:tcPr>
            <w:tcW w:w="2739" w:type="dxa"/>
            <w:gridSpan w:val="2"/>
            <w:tcBorders>
              <w:top w:val="single" w:sz="12" w:space="0" w:color="auto"/>
              <w:left w:val="single" w:sz="18" w:space="0" w:color="auto"/>
              <w:bottom w:val="single" w:sz="18" w:space="0" w:color="auto"/>
              <w:right w:val="single" w:sz="12" w:space="0" w:color="auto"/>
            </w:tcBorders>
            <w:vAlign w:val="center"/>
            <w:hideMark/>
          </w:tcPr>
          <w:p w:rsidR="00DB3F88" w:rsidRDefault="00DB3F88">
            <w:pPr>
              <w:jc w:val="center"/>
              <w:rPr>
                <w:rFonts w:ascii="Arial" w:hAnsi="Arial" w:cs="Arial"/>
              </w:rPr>
            </w:pPr>
            <w:r>
              <w:rPr>
                <w:rFonts w:ascii="Arial" w:hAnsi="Arial" w:cs="Arial"/>
              </w:rPr>
              <w:t>Cilj i glavne teme savjetovanja</w:t>
            </w:r>
          </w:p>
        </w:tc>
        <w:tc>
          <w:tcPr>
            <w:tcW w:w="7675" w:type="dxa"/>
            <w:gridSpan w:val="3"/>
            <w:tcBorders>
              <w:top w:val="single" w:sz="12" w:space="0" w:color="auto"/>
              <w:left w:val="single" w:sz="12" w:space="0" w:color="auto"/>
              <w:bottom w:val="single" w:sz="18" w:space="0" w:color="auto"/>
              <w:right w:val="single" w:sz="18" w:space="0" w:color="auto"/>
            </w:tcBorders>
            <w:vAlign w:val="center"/>
          </w:tcPr>
          <w:p w:rsidR="00DB3F88" w:rsidRDefault="00DB3F88">
            <w:pPr>
              <w:rPr>
                <w:rFonts w:ascii="Arial" w:hAnsi="Arial" w:cs="Arial"/>
              </w:rPr>
            </w:pPr>
            <w:r>
              <w:rPr>
                <w:rFonts w:ascii="Arial" w:hAnsi="Arial" w:cs="Arial"/>
              </w:rPr>
              <w:t>Osnovni cilj savjetovanja bio je dobivanje povratnih informacija od zainteresirane javnosti u svezi predloženog Plana zaštite od požara za područje grada Rijeke.</w:t>
            </w:r>
          </w:p>
          <w:p w:rsidR="00DB3F88" w:rsidRDefault="00DB3F88">
            <w:pPr>
              <w:rPr>
                <w:rFonts w:ascii="Arial" w:hAnsi="Arial" w:cs="Arial"/>
              </w:rPr>
            </w:pPr>
          </w:p>
        </w:tc>
      </w:tr>
      <w:tr w:rsidR="00DB3F88" w:rsidTr="00D227A1">
        <w:tc>
          <w:tcPr>
            <w:tcW w:w="1247" w:type="dxa"/>
            <w:tcBorders>
              <w:top w:val="single" w:sz="2" w:space="0" w:color="auto"/>
              <w:left w:val="single" w:sz="18" w:space="0" w:color="auto"/>
              <w:bottom w:val="single" w:sz="2" w:space="0" w:color="auto"/>
              <w:right w:val="single" w:sz="2" w:space="0" w:color="auto"/>
            </w:tcBorders>
            <w:vAlign w:val="center"/>
            <w:hideMark/>
          </w:tcPr>
          <w:p w:rsidR="00DB3F88" w:rsidRDefault="00DB3F88">
            <w:pPr>
              <w:ind w:left="-426" w:firstLine="426"/>
              <w:jc w:val="center"/>
              <w:rPr>
                <w:rFonts w:ascii="Arial" w:hAnsi="Arial" w:cs="Arial"/>
              </w:rPr>
            </w:pPr>
            <w:r>
              <w:rPr>
                <w:rFonts w:ascii="Arial" w:hAnsi="Arial" w:cs="Arial"/>
              </w:rPr>
              <w:t>Redni broj</w:t>
            </w:r>
          </w:p>
        </w:tc>
        <w:tc>
          <w:tcPr>
            <w:tcW w:w="1492" w:type="dxa"/>
            <w:tcBorders>
              <w:top w:val="single" w:sz="2" w:space="0" w:color="auto"/>
              <w:left w:val="single" w:sz="2" w:space="0" w:color="auto"/>
              <w:bottom w:val="single" w:sz="2" w:space="0" w:color="auto"/>
              <w:right w:val="single" w:sz="2" w:space="0" w:color="auto"/>
            </w:tcBorders>
            <w:vAlign w:val="center"/>
            <w:hideMark/>
          </w:tcPr>
          <w:p w:rsidR="00DB3F88" w:rsidRDefault="00DB3F88">
            <w:pPr>
              <w:rPr>
                <w:rFonts w:ascii="Arial" w:hAnsi="Arial" w:cs="Arial"/>
              </w:rPr>
            </w:pPr>
            <w:r>
              <w:rPr>
                <w:rFonts w:ascii="Arial" w:hAnsi="Arial" w:cs="Arial"/>
              </w:rPr>
              <w:t>Naziv dionika (pojedinac, organizacija, institucija)</w:t>
            </w:r>
          </w:p>
        </w:tc>
        <w:tc>
          <w:tcPr>
            <w:tcW w:w="1965" w:type="dxa"/>
            <w:tcBorders>
              <w:top w:val="single" w:sz="2" w:space="0" w:color="auto"/>
              <w:left w:val="single" w:sz="2" w:space="0" w:color="auto"/>
              <w:bottom w:val="single" w:sz="2" w:space="0" w:color="auto"/>
              <w:right w:val="single" w:sz="2" w:space="0" w:color="auto"/>
            </w:tcBorders>
            <w:vAlign w:val="center"/>
            <w:hideMark/>
          </w:tcPr>
          <w:p w:rsidR="00DB3F88" w:rsidRDefault="00DB3F88">
            <w:pPr>
              <w:jc w:val="center"/>
              <w:rPr>
                <w:rFonts w:ascii="Arial" w:hAnsi="Arial" w:cs="Arial"/>
              </w:rPr>
            </w:pPr>
            <w:r>
              <w:rPr>
                <w:rFonts w:ascii="Arial" w:hAnsi="Arial" w:cs="Arial"/>
              </w:rPr>
              <w:t>Članak na koji se odnosi primjedba/</w:t>
            </w:r>
          </w:p>
          <w:p w:rsidR="00DB3F88" w:rsidRDefault="00DB3F88">
            <w:pPr>
              <w:jc w:val="center"/>
              <w:rPr>
                <w:rFonts w:ascii="Arial" w:hAnsi="Arial" w:cs="Arial"/>
              </w:rPr>
            </w:pPr>
            <w:r>
              <w:rPr>
                <w:rFonts w:ascii="Arial" w:hAnsi="Arial" w:cs="Arial"/>
              </w:rPr>
              <w:t>prijedlog</w:t>
            </w:r>
          </w:p>
        </w:tc>
        <w:tc>
          <w:tcPr>
            <w:tcW w:w="2827" w:type="dxa"/>
            <w:tcBorders>
              <w:top w:val="single" w:sz="2" w:space="0" w:color="auto"/>
              <w:left w:val="single" w:sz="2" w:space="0" w:color="auto"/>
              <w:bottom w:val="single" w:sz="2" w:space="0" w:color="auto"/>
              <w:right w:val="single" w:sz="2" w:space="0" w:color="auto"/>
            </w:tcBorders>
            <w:vAlign w:val="center"/>
            <w:hideMark/>
          </w:tcPr>
          <w:p w:rsidR="00DB3F88" w:rsidRDefault="00DB3F88">
            <w:pPr>
              <w:jc w:val="center"/>
              <w:rPr>
                <w:rFonts w:ascii="Arial" w:hAnsi="Arial" w:cs="Arial"/>
              </w:rPr>
            </w:pPr>
            <w:r>
              <w:rPr>
                <w:rFonts w:ascii="Arial" w:hAnsi="Arial" w:cs="Arial"/>
              </w:rPr>
              <w:t>Tekst primjedbe/prijedloga</w:t>
            </w:r>
          </w:p>
        </w:tc>
        <w:tc>
          <w:tcPr>
            <w:tcW w:w="2883" w:type="dxa"/>
            <w:tcBorders>
              <w:top w:val="single" w:sz="2" w:space="0" w:color="auto"/>
              <w:left w:val="single" w:sz="2" w:space="0" w:color="auto"/>
              <w:bottom w:val="single" w:sz="2" w:space="0" w:color="auto"/>
              <w:right w:val="single" w:sz="18" w:space="0" w:color="auto"/>
            </w:tcBorders>
            <w:vAlign w:val="center"/>
            <w:hideMark/>
          </w:tcPr>
          <w:p w:rsidR="00DB3F88" w:rsidRDefault="00DB3F88">
            <w:pPr>
              <w:jc w:val="center"/>
              <w:rPr>
                <w:rFonts w:ascii="Arial" w:hAnsi="Arial" w:cs="Arial"/>
              </w:rPr>
            </w:pPr>
            <w:r>
              <w:rPr>
                <w:rFonts w:ascii="Arial" w:hAnsi="Arial" w:cs="Arial"/>
              </w:rPr>
              <w:t>Prihvaćanje/neprihvaćanje primjedbe ili prijedloga</w:t>
            </w:r>
          </w:p>
        </w:tc>
      </w:tr>
      <w:tr w:rsidR="00DB3F88" w:rsidTr="00D227A1">
        <w:tc>
          <w:tcPr>
            <w:tcW w:w="1247" w:type="dxa"/>
            <w:tcBorders>
              <w:top w:val="single" w:sz="2" w:space="0" w:color="auto"/>
              <w:left w:val="single" w:sz="18" w:space="0" w:color="auto"/>
              <w:bottom w:val="single" w:sz="2" w:space="0" w:color="auto"/>
              <w:right w:val="single" w:sz="2" w:space="0" w:color="auto"/>
            </w:tcBorders>
            <w:vAlign w:val="center"/>
            <w:hideMark/>
          </w:tcPr>
          <w:p w:rsidR="00DB3F88" w:rsidRDefault="00DB3F88">
            <w:pPr>
              <w:ind w:left="-426" w:firstLine="426"/>
              <w:jc w:val="center"/>
              <w:rPr>
                <w:rFonts w:ascii="Arial" w:hAnsi="Arial" w:cs="Arial"/>
              </w:rPr>
            </w:pPr>
            <w:r>
              <w:rPr>
                <w:rFonts w:ascii="Arial" w:hAnsi="Arial" w:cs="Arial"/>
              </w:rPr>
              <w:t>1.</w:t>
            </w:r>
          </w:p>
        </w:tc>
        <w:tc>
          <w:tcPr>
            <w:tcW w:w="1492" w:type="dxa"/>
            <w:tcBorders>
              <w:top w:val="single" w:sz="2" w:space="0" w:color="auto"/>
              <w:left w:val="single" w:sz="2" w:space="0" w:color="auto"/>
              <w:bottom w:val="single" w:sz="2" w:space="0" w:color="auto"/>
              <w:right w:val="single" w:sz="2" w:space="0" w:color="auto"/>
            </w:tcBorders>
            <w:vAlign w:val="center"/>
            <w:hideMark/>
          </w:tcPr>
          <w:p w:rsidR="00DB3F88" w:rsidRDefault="00DB3F88">
            <w:pPr>
              <w:rPr>
                <w:rFonts w:ascii="Arial" w:hAnsi="Arial" w:cs="Arial"/>
              </w:rPr>
            </w:pPr>
            <w:r>
              <w:rPr>
                <w:rFonts w:ascii="Arial" w:hAnsi="Arial" w:cs="Arial"/>
              </w:rPr>
              <w:t>Boris Rosanda</w:t>
            </w:r>
          </w:p>
        </w:tc>
        <w:tc>
          <w:tcPr>
            <w:tcW w:w="1965" w:type="dxa"/>
            <w:tcBorders>
              <w:top w:val="single" w:sz="2" w:space="0" w:color="auto"/>
              <w:left w:val="single" w:sz="2" w:space="0" w:color="auto"/>
              <w:bottom w:val="single" w:sz="2" w:space="0" w:color="auto"/>
              <w:right w:val="single" w:sz="2" w:space="0" w:color="auto"/>
            </w:tcBorders>
            <w:vAlign w:val="center"/>
            <w:hideMark/>
          </w:tcPr>
          <w:p w:rsidR="00DB3F88" w:rsidRDefault="00DB3F88">
            <w:pPr>
              <w:rPr>
                <w:rFonts w:ascii="Arial" w:hAnsi="Arial" w:cs="Arial"/>
              </w:rPr>
            </w:pPr>
            <w:r>
              <w:rPr>
                <w:rFonts w:ascii="Arial" w:hAnsi="Arial" w:cs="Arial"/>
              </w:rPr>
              <w:t>Načelni prijedlog/mišljenje</w:t>
            </w:r>
          </w:p>
          <w:p w:rsidR="00DB3F88" w:rsidRDefault="00DB3F88">
            <w:pPr>
              <w:rPr>
                <w:rFonts w:ascii="Arial" w:hAnsi="Arial" w:cs="Arial"/>
              </w:rPr>
            </w:pPr>
            <w:r>
              <w:rPr>
                <w:rFonts w:ascii="Arial" w:hAnsi="Arial" w:cs="Arial"/>
              </w:rPr>
              <w:t>U prijedlogu nije izričito navedeno na koji se članak odnosi</w:t>
            </w:r>
          </w:p>
        </w:tc>
        <w:tc>
          <w:tcPr>
            <w:tcW w:w="2827" w:type="dxa"/>
            <w:tcBorders>
              <w:top w:val="single" w:sz="2" w:space="0" w:color="auto"/>
              <w:left w:val="single" w:sz="2" w:space="0" w:color="auto"/>
              <w:bottom w:val="single" w:sz="2" w:space="0" w:color="auto"/>
              <w:right w:val="single" w:sz="2" w:space="0" w:color="auto"/>
            </w:tcBorders>
            <w:vAlign w:val="center"/>
          </w:tcPr>
          <w:p w:rsidR="00DB3F88" w:rsidRDefault="00DB3F88">
            <w:pPr>
              <w:pStyle w:val="NormalWeb"/>
              <w:rPr>
                <w:rFonts w:ascii="Arial" w:hAnsi="Arial" w:cs="Arial"/>
                <w:sz w:val="22"/>
                <w:szCs w:val="22"/>
              </w:rPr>
            </w:pPr>
            <w:r>
              <w:rPr>
                <w:rFonts w:ascii="Arial" w:hAnsi="Arial" w:cs="Arial"/>
                <w:sz w:val="22"/>
                <w:szCs w:val="22"/>
              </w:rPr>
              <w:t>Predlaže se uključivanje Postrojbe civilne zaštite Grada Rijeke u gašenje požara sa sljedećim zadaćama:</w:t>
            </w:r>
            <w:r>
              <w:rPr>
                <w:rFonts w:ascii="Arial" w:hAnsi="Arial" w:cs="Arial"/>
                <w:sz w:val="22"/>
                <w:szCs w:val="22"/>
              </w:rPr>
              <w:br/>
              <w:t>1. evakuacija stanovništva iz požarom ugroženih područja;</w:t>
            </w:r>
            <w:r>
              <w:rPr>
                <w:rFonts w:ascii="Arial" w:hAnsi="Arial" w:cs="Arial"/>
                <w:sz w:val="22"/>
                <w:szCs w:val="22"/>
              </w:rPr>
              <w:br/>
              <w:t>2. kontrola pristupa prometnicama u područje zahvaćeno požarom;</w:t>
            </w:r>
            <w:r>
              <w:rPr>
                <w:rFonts w:ascii="Arial" w:hAnsi="Arial" w:cs="Arial"/>
                <w:sz w:val="22"/>
                <w:szCs w:val="22"/>
              </w:rPr>
              <w:br/>
              <w:t>3. logistička potpora gasiteljima (doprema hrane, vode, tehničkih sredstva…;</w:t>
            </w:r>
            <w:r>
              <w:rPr>
                <w:rFonts w:ascii="Arial" w:hAnsi="Arial" w:cs="Arial"/>
                <w:sz w:val="22"/>
                <w:szCs w:val="22"/>
              </w:rPr>
              <w:br/>
              <w:t>4. nadzor vozila, opreme na privremenim skladištima, kampovima i sličnim lokacijama;</w:t>
            </w:r>
            <w:r>
              <w:rPr>
                <w:rFonts w:ascii="Arial" w:hAnsi="Arial" w:cs="Arial"/>
                <w:sz w:val="22"/>
                <w:szCs w:val="22"/>
              </w:rPr>
              <w:br/>
              <w:t xml:space="preserve">5. Sve ostale aktivnosti traganja i spašavanja za koje je postrojba obučena a nije gašenje požara. </w:t>
            </w:r>
          </w:p>
          <w:p w:rsidR="00DB3F88" w:rsidRDefault="00DB3F88">
            <w:pPr>
              <w:jc w:val="center"/>
              <w:rPr>
                <w:rFonts w:ascii="Arial" w:hAnsi="Arial" w:cs="Arial"/>
                <w:highlight w:val="yellow"/>
              </w:rPr>
            </w:pPr>
          </w:p>
        </w:tc>
        <w:tc>
          <w:tcPr>
            <w:tcW w:w="2883" w:type="dxa"/>
            <w:tcBorders>
              <w:top w:val="single" w:sz="2" w:space="0" w:color="auto"/>
              <w:left w:val="single" w:sz="2" w:space="0" w:color="auto"/>
              <w:bottom w:val="single" w:sz="2" w:space="0" w:color="auto"/>
              <w:right w:val="single" w:sz="18" w:space="0" w:color="auto"/>
            </w:tcBorders>
            <w:vAlign w:val="center"/>
          </w:tcPr>
          <w:p w:rsidR="00DB3F88" w:rsidRDefault="007E2E37">
            <w:pPr>
              <w:spacing w:after="0"/>
              <w:rPr>
                <w:rFonts w:ascii="Arial" w:hAnsi="Arial" w:cs="Arial"/>
              </w:rPr>
            </w:pPr>
            <w:r w:rsidRPr="007E2E37">
              <w:rPr>
                <w:rFonts w:ascii="Arial" w:hAnsi="Arial" w:cs="Arial"/>
              </w:rPr>
              <w:t xml:space="preserve">Prijedlog je razmotren </w:t>
            </w:r>
            <w:r w:rsidR="00372E28" w:rsidRPr="007E2E37">
              <w:rPr>
                <w:rFonts w:ascii="Arial" w:hAnsi="Arial" w:cs="Arial"/>
              </w:rPr>
              <w:t>ali ni</w:t>
            </w:r>
            <w:r w:rsidRPr="007E2E37">
              <w:rPr>
                <w:rFonts w:ascii="Arial" w:hAnsi="Arial" w:cs="Arial"/>
              </w:rPr>
              <w:t>je prihvaćen.</w:t>
            </w:r>
            <w:r w:rsidR="00DB3F88" w:rsidRPr="007E2E37">
              <w:rPr>
                <w:rFonts w:ascii="Arial" w:hAnsi="Arial" w:cs="Arial"/>
              </w:rPr>
              <w:t xml:space="preserve"> Prijedlog</w:t>
            </w:r>
            <w:r w:rsidR="00DB3F88">
              <w:rPr>
                <w:rFonts w:ascii="Arial" w:hAnsi="Arial" w:cs="Arial"/>
              </w:rPr>
              <w:t xml:space="preserve"> plana zaštite od požara ne razrađuje poslove koje obavljaju pojedine službe koje se uključuju u akciju gašenja požara (komunalna i trgovačka društva, službe za pružanje prve medicinske pomoći, Hrvatska vojska, Civilna zaštita), te u tom smislu u predloženom Planu nije opravdana niti specifikacija poslova civilne zaštite. Člankom 19. Prijedloga plana utvrđeno je da u slučaju požara postrojbe civilne zaštite Grada Rijeke postupaju u skladu s Planom djelovanja civilne zaštite Grada Rijeke. </w:t>
            </w:r>
          </w:p>
          <w:p w:rsidR="00DB3F88" w:rsidRDefault="00DB3F88">
            <w:pPr>
              <w:jc w:val="center"/>
              <w:rPr>
                <w:rFonts w:ascii="Arial" w:hAnsi="Arial" w:cs="Arial"/>
                <w:sz w:val="24"/>
                <w:szCs w:val="20"/>
                <w:highlight w:val="yellow"/>
              </w:rPr>
            </w:pPr>
          </w:p>
        </w:tc>
      </w:tr>
      <w:tr w:rsidR="00DB3F88" w:rsidTr="00D227A1">
        <w:trPr>
          <w:trHeight w:val="516"/>
        </w:trPr>
        <w:tc>
          <w:tcPr>
            <w:tcW w:w="1247" w:type="dxa"/>
            <w:tcBorders>
              <w:top w:val="single" w:sz="2" w:space="0" w:color="auto"/>
              <w:left w:val="single" w:sz="18" w:space="0" w:color="auto"/>
              <w:bottom w:val="single" w:sz="2" w:space="0" w:color="auto"/>
              <w:right w:val="single" w:sz="2" w:space="0" w:color="auto"/>
            </w:tcBorders>
            <w:vAlign w:val="center"/>
            <w:hideMark/>
          </w:tcPr>
          <w:p w:rsidR="00DB3F88" w:rsidRDefault="00DB3F88">
            <w:pPr>
              <w:jc w:val="center"/>
              <w:rPr>
                <w:rFonts w:ascii="Arial" w:hAnsi="Arial" w:cs="Arial"/>
              </w:rPr>
            </w:pPr>
            <w:r>
              <w:rPr>
                <w:rFonts w:ascii="Arial" w:hAnsi="Arial" w:cs="Arial"/>
              </w:rPr>
              <w:t>22.</w:t>
            </w:r>
          </w:p>
        </w:tc>
        <w:tc>
          <w:tcPr>
            <w:tcW w:w="1492" w:type="dxa"/>
            <w:tcBorders>
              <w:top w:val="single" w:sz="2" w:space="0" w:color="auto"/>
              <w:left w:val="single" w:sz="2" w:space="0" w:color="auto"/>
              <w:bottom w:val="single" w:sz="2" w:space="0" w:color="auto"/>
              <w:right w:val="single" w:sz="2" w:space="0" w:color="auto"/>
            </w:tcBorders>
            <w:vAlign w:val="center"/>
            <w:hideMark/>
          </w:tcPr>
          <w:p w:rsidR="00DB3F88" w:rsidRDefault="00DB3F88">
            <w:pPr>
              <w:rPr>
                <w:rFonts w:ascii="Arial" w:hAnsi="Arial" w:cs="Arial"/>
              </w:rPr>
            </w:pPr>
            <w:r>
              <w:rPr>
                <w:rFonts w:ascii="Arial" w:hAnsi="Arial" w:cs="Arial"/>
              </w:rPr>
              <w:t>Željko Marić</w:t>
            </w:r>
          </w:p>
        </w:tc>
        <w:tc>
          <w:tcPr>
            <w:tcW w:w="1965" w:type="dxa"/>
            <w:tcBorders>
              <w:top w:val="single" w:sz="2" w:space="0" w:color="auto"/>
              <w:left w:val="single" w:sz="2" w:space="0" w:color="auto"/>
              <w:bottom w:val="single" w:sz="2" w:space="0" w:color="auto"/>
              <w:right w:val="single" w:sz="2" w:space="0" w:color="auto"/>
            </w:tcBorders>
            <w:vAlign w:val="center"/>
            <w:hideMark/>
          </w:tcPr>
          <w:p w:rsidR="00DB3F88" w:rsidRDefault="00DB3F88">
            <w:pPr>
              <w:rPr>
                <w:rFonts w:ascii="Arial" w:hAnsi="Arial" w:cs="Arial"/>
              </w:rPr>
            </w:pPr>
            <w:r>
              <w:rPr>
                <w:rFonts w:ascii="Arial" w:hAnsi="Arial" w:cs="Arial"/>
              </w:rPr>
              <w:t>Načelni prijedlog/mišljenje</w:t>
            </w:r>
          </w:p>
          <w:p w:rsidR="00DB3F88" w:rsidRDefault="00DB3F88">
            <w:pPr>
              <w:rPr>
                <w:rFonts w:ascii="Arial" w:hAnsi="Arial" w:cs="Arial"/>
              </w:rPr>
            </w:pPr>
            <w:r>
              <w:rPr>
                <w:rFonts w:ascii="Arial" w:hAnsi="Arial" w:cs="Arial"/>
              </w:rPr>
              <w:t xml:space="preserve">U prijedlogu nije izričito navedeno </w:t>
            </w:r>
            <w:r>
              <w:rPr>
                <w:rFonts w:ascii="Arial" w:hAnsi="Arial" w:cs="Arial"/>
              </w:rPr>
              <w:lastRenderedPageBreak/>
              <w:t>na koji se članak odnosi</w:t>
            </w:r>
          </w:p>
        </w:tc>
        <w:tc>
          <w:tcPr>
            <w:tcW w:w="2827" w:type="dxa"/>
            <w:tcBorders>
              <w:top w:val="single" w:sz="2" w:space="0" w:color="auto"/>
              <w:left w:val="single" w:sz="2" w:space="0" w:color="auto"/>
              <w:bottom w:val="single" w:sz="2" w:space="0" w:color="auto"/>
              <w:right w:val="single" w:sz="2" w:space="0" w:color="auto"/>
            </w:tcBorders>
            <w:vAlign w:val="center"/>
            <w:hideMark/>
          </w:tcPr>
          <w:p w:rsidR="00DB3F88" w:rsidRDefault="00DB3F88">
            <w:pPr>
              <w:rPr>
                <w:rFonts w:ascii="Arial" w:hAnsi="Arial" w:cs="Arial"/>
              </w:rPr>
            </w:pPr>
            <w:r>
              <w:rPr>
                <w:rFonts w:ascii="Arial" w:hAnsi="Arial" w:cs="Arial"/>
              </w:rPr>
              <w:lastRenderedPageBreak/>
              <w:t>Nemam primjedbi</w:t>
            </w:r>
          </w:p>
        </w:tc>
        <w:tc>
          <w:tcPr>
            <w:tcW w:w="2883" w:type="dxa"/>
            <w:tcBorders>
              <w:top w:val="single" w:sz="2" w:space="0" w:color="auto"/>
              <w:left w:val="single" w:sz="2" w:space="0" w:color="auto"/>
              <w:bottom w:val="single" w:sz="2" w:space="0" w:color="auto"/>
              <w:right w:val="single" w:sz="18" w:space="0" w:color="auto"/>
            </w:tcBorders>
            <w:vAlign w:val="center"/>
            <w:hideMark/>
          </w:tcPr>
          <w:p w:rsidR="00DB3F88" w:rsidRDefault="00DB3F88">
            <w:pPr>
              <w:rPr>
                <w:rFonts w:ascii="Arial" w:hAnsi="Arial" w:cs="Arial"/>
                <w:highlight w:val="yellow"/>
              </w:rPr>
            </w:pPr>
            <w:r>
              <w:rPr>
                <w:rFonts w:ascii="Arial" w:hAnsi="Arial" w:cs="Arial"/>
              </w:rPr>
              <w:t>Komentar je primljen na znanje</w:t>
            </w:r>
          </w:p>
        </w:tc>
      </w:tr>
      <w:tr w:rsidR="00DB3F88" w:rsidTr="00D227A1">
        <w:trPr>
          <w:trHeight w:val="516"/>
        </w:trPr>
        <w:tc>
          <w:tcPr>
            <w:tcW w:w="1247" w:type="dxa"/>
            <w:tcBorders>
              <w:top w:val="single" w:sz="2" w:space="0" w:color="auto"/>
              <w:left w:val="single" w:sz="18" w:space="0" w:color="auto"/>
              <w:bottom w:val="single" w:sz="18" w:space="0" w:color="auto"/>
              <w:right w:val="single" w:sz="2" w:space="0" w:color="auto"/>
            </w:tcBorders>
            <w:vAlign w:val="center"/>
          </w:tcPr>
          <w:p w:rsidR="00DB3F88" w:rsidRDefault="00DB3F88">
            <w:pPr>
              <w:jc w:val="center"/>
              <w:rPr>
                <w:rFonts w:ascii="Arial" w:hAnsi="Arial" w:cs="Arial"/>
              </w:rPr>
            </w:pPr>
            <w:r>
              <w:rPr>
                <w:rFonts w:ascii="Arial" w:hAnsi="Arial" w:cs="Arial"/>
              </w:rPr>
              <w:t>33.</w:t>
            </w:r>
          </w:p>
          <w:p w:rsidR="00DB3F88" w:rsidRDefault="00DB3F88">
            <w:pPr>
              <w:jc w:val="center"/>
              <w:rPr>
                <w:rFonts w:ascii="Arial" w:hAnsi="Arial" w:cs="Arial"/>
              </w:rPr>
            </w:pPr>
          </w:p>
        </w:tc>
        <w:tc>
          <w:tcPr>
            <w:tcW w:w="1492" w:type="dxa"/>
            <w:tcBorders>
              <w:top w:val="single" w:sz="2" w:space="0" w:color="auto"/>
              <w:left w:val="single" w:sz="2" w:space="0" w:color="auto"/>
              <w:bottom w:val="single" w:sz="18" w:space="0" w:color="auto"/>
              <w:right w:val="single" w:sz="2" w:space="0" w:color="auto"/>
            </w:tcBorders>
            <w:vAlign w:val="center"/>
            <w:hideMark/>
          </w:tcPr>
          <w:p w:rsidR="00DB3F88" w:rsidRDefault="00DB3F88">
            <w:pPr>
              <w:rPr>
                <w:rFonts w:ascii="Arial" w:hAnsi="Arial" w:cs="Arial"/>
              </w:rPr>
            </w:pPr>
            <w:r>
              <w:rPr>
                <w:rFonts w:ascii="Arial" w:hAnsi="Arial" w:cs="Arial"/>
              </w:rPr>
              <w:t xml:space="preserve">Nikolina </w:t>
            </w:r>
            <w:proofErr w:type="spellStart"/>
            <w:r>
              <w:rPr>
                <w:rFonts w:ascii="Arial" w:hAnsi="Arial" w:cs="Arial"/>
              </w:rPr>
              <w:t>Pavšić</w:t>
            </w:r>
            <w:proofErr w:type="spellEnd"/>
          </w:p>
        </w:tc>
        <w:tc>
          <w:tcPr>
            <w:tcW w:w="1965" w:type="dxa"/>
            <w:tcBorders>
              <w:top w:val="single" w:sz="2" w:space="0" w:color="auto"/>
              <w:left w:val="single" w:sz="2" w:space="0" w:color="auto"/>
              <w:bottom w:val="single" w:sz="18" w:space="0" w:color="auto"/>
              <w:right w:val="single" w:sz="2" w:space="0" w:color="auto"/>
            </w:tcBorders>
            <w:vAlign w:val="center"/>
            <w:hideMark/>
          </w:tcPr>
          <w:p w:rsidR="00DB3F88" w:rsidRDefault="00DB3F88">
            <w:pPr>
              <w:rPr>
                <w:rFonts w:ascii="Arial" w:hAnsi="Arial" w:cs="Arial"/>
              </w:rPr>
            </w:pPr>
            <w:r>
              <w:rPr>
                <w:rFonts w:ascii="Arial" w:hAnsi="Arial" w:cs="Arial"/>
              </w:rPr>
              <w:t>Načelni prijedlog/mišljenje</w:t>
            </w:r>
          </w:p>
          <w:p w:rsidR="00DB3F88" w:rsidRDefault="00DB3F88">
            <w:pPr>
              <w:rPr>
                <w:rFonts w:ascii="Arial" w:hAnsi="Arial" w:cs="Arial"/>
                <w:highlight w:val="yellow"/>
              </w:rPr>
            </w:pPr>
            <w:r>
              <w:rPr>
                <w:rFonts w:ascii="Arial" w:hAnsi="Arial" w:cs="Arial"/>
              </w:rPr>
              <w:t>U prijedlogu nije izričito navedeno na koji se članak odnosi</w:t>
            </w:r>
          </w:p>
        </w:tc>
        <w:tc>
          <w:tcPr>
            <w:tcW w:w="2827" w:type="dxa"/>
            <w:tcBorders>
              <w:top w:val="single" w:sz="2" w:space="0" w:color="auto"/>
              <w:left w:val="single" w:sz="2" w:space="0" w:color="auto"/>
              <w:bottom w:val="single" w:sz="18" w:space="0" w:color="auto"/>
              <w:right w:val="single" w:sz="2" w:space="0" w:color="auto"/>
            </w:tcBorders>
            <w:vAlign w:val="center"/>
            <w:hideMark/>
          </w:tcPr>
          <w:p w:rsidR="00DB3F88" w:rsidRDefault="00DB3F88">
            <w:pPr>
              <w:pStyle w:val="NormalWeb"/>
              <w:rPr>
                <w:sz w:val="22"/>
                <w:szCs w:val="22"/>
              </w:rPr>
            </w:pPr>
            <w:r>
              <w:rPr>
                <w:rFonts w:ascii="Arial" w:hAnsi="Arial" w:cs="Arial"/>
                <w:sz w:val="22"/>
                <w:szCs w:val="22"/>
              </w:rPr>
              <w:t xml:space="preserve">Ovime se ističe da u naselju Draga u sklopu Grada Rijeke, konkretno u ulici </w:t>
            </w:r>
            <w:proofErr w:type="spellStart"/>
            <w:r>
              <w:rPr>
                <w:rFonts w:ascii="Arial" w:hAnsi="Arial" w:cs="Arial"/>
                <w:sz w:val="22"/>
                <w:szCs w:val="22"/>
              </w:rPr>
              <w:t>Gušć</w:t>
            </w:r>
            <w:proofErr w:type="spellEnd"/>
            <w:r>
              <w:rPr>
                <w:rFonts w:ascii="Arial" w:hAnsi="Arial" w:cs="Arial"/>
                <w:sz w:val="22"/>
                <w:szCs w:val="22"/>
              </w:rPr>
              <w:t xml:space="preserve">, ne postoji adekvatni pristupni put u slučaju požara. Naime, ulica </w:t>
            </w:r>
            <w:proofErr w:type="spellStart"/>
            <w:r>
              <w:rPr>
                <w:rFonts w:ascii="Arial" w:hAnsi="Arial" w:cs="Arial"/>
                <w:sz w:val="22"/>
                <w:szCs w:val="22"/>
              </w:rPr>
              <w:t>Gušć</w:t>
            </w:r>
            <w:proofErr w:type="spellEnd"/>
            <w:r>
              <w:rPr>
                <w:rFonts w:ascii="Arial" w:hAnsi="Arial" w:cs="Arial"/>
                <w:sz w:val="22"/>
                <w:szCs w:val="22"/>
              </w:rPr>
              <w:t xml:space="preserve"> nalazi se iznad pruge u Sušačkoj Dragi te put uz željezničku prugu nije redovito održavan te isti nije niti prohodan do šume u nastavku, u smjeru Orehovice. Nadalje, ne postoji pristupni put niti operativna površina za interventna vozila u slučaju požara u ulici </w:t>
            </w:r>
            <w:proofErr w:type="spellStart"/>
            <w:r>
              <w:rPr>
                <w:rFonts w:ascii="Arial" w:hAnsi="Arial" w:cs="Arial"/>
                <w:sz w:val="22"/>
                <w:szCs w:val="22"/>
              </w:rPr>
              <w:t>Gušć</w:t>
            </w:r>
            <w:proofErr w:type="spellEnd"/>
            <w:r>
              <w:rPr>
                <w:rFonts w:ascii="Arial" w:hAnsi="Arial" w:cs="Arial"/>
                <w:sz w:val="22"/>
                <w:szCs w:val="22"/>
              </w:rPr>
              <w:t>. Naime, kako je poznato, u tom dijelu Drage se nalaze dvije volte (jedna je podvožnjak ispod pruge, a druga ja na obiteljskoj kući iznad javne prometnice) te ondje može proći samo manje vatrogasno vozilo. Dakle, u slučaju potrebe za većim vatrogasnim vozilom, ono nije omogućeno stanovnicima ovog dijela Rijeke. Razvidno je da se isti ne osjećaju zaštićeno, a unatoč mnogim apelima, nije bilo volje da se ovo riješi niti je gradska vlast poduzimala bilo kakve korake u cilju nalaženja rješenja.</w:t>
            </w:r>
            <w:r>
              <w:rPr>
                <w:rFonts w:ascii="Arial" w:hAnsi="Arial" w:cs="Arial"/>
                <w:sz w:val="22"/>
                <w:szCs w:val="22"/>
              </w:rPr>
              <w:br/>
              <w:t xml:space="preserve">Također se ističe da je u produžetku ulice </w:t>
            </w:r>
            <w:proofErr w:type="spellStart"/>
            <w:r>
              <w:rPr>
                <w:rFonts w:ascii="Arial" w:hAnsi="Arial" w:cs="Arial"/>
                <w:sz w:val="22"/>
                <w:szCs w:val="22"/>
              </w:rPr>
              <w:t>Gušć</w:t>
            </w:r>
            <w:proofErr w:type="spellEnd"/>
            <w:r>
              <w:rPr>
                <w:rFonts w:ascii="Arial" w:hAnsi="Arial" w:cs="Arial"/>
                <w:sz w:val="22"/>
                <w:szCs w:val="22"/>
              </w:rPr>
              <w:t xml:space="preserve">, kao i neposredno iznad ulice </w:t>
            </w:r>
            <w:proofErr w:type="spellStart"/>
            <w:r>
              <w:rPr>
                <w:rFonts w:ascii="Arial" w:hAnsi="Arial" w:cs="Arial"/>
                <w:sz w:val="22"/>
                <w:szCs w:val="22"/>
              </w:rPr>
              <w:t>Gušć</w:t>
            </w:r>
            <w:proofErr w:type="spellEnd"/>
            <w:r>
              <w:rPr>
                <w:rFonts w:ascii="Arial" w:hAnsi="Arial" w:cs="Arial"/>
                <w:sz w:val="22"/>
                <w:szCs w:val="22"/>
              </w:rPr>
              <w:t xml:space="preserve">, šumsko područje. Napominje se da se na ovom dijelu može očekivati šumski požar većih razmjera. Dakle, isto kao što stanovnicima ovog dijela Rijeke nije osigurana zakonska zaštita od požara, ista nije osigurana </w:t>
            </w:r>
            <w:r>
              <w:rPr>
                <w:rFonts w:ascii="Arial" w:hAnsi="Arial" w:cs="Arial"/>
                <w:sz w:val="22"/>
                <w:szCs w:val="22"/>
              </w:rPr>
              <w:lastRenderedPageBreak/>
              <w:t>ni šumskom području ovog dijela Rijeke.</w:t>
            </w:r>
            <w:r>
              <w:rPr>
                <w:rFonts w:ascii="Arial" w:hAnsi="Arial" w:cs="Arial"/>
                <w:sz w:val="22"/>
                <w:szCs w:val="22"/>
              </w:rPr>
              <w:br/>
              <w:t>Od strane mještana se apeliralo na izgradnju dodatnog dijela ceste uz prugu, u dužini od 350 do 500 metara, kojim bi se ispunili uvjeti zaštite od požara propisani zakonom.</w:t>
            </w:r>
            <w:r>
              <w:rPr>
                <w:rFonts w:ascii="Arial" w:hAnsi="Arial" w:cs="Arial"/>
                <w:sz w:val="22"/>
                <w:szCs w:val="22"/>
              </w:rPr>
              <w:br/>
              <w:t>Idealni trenutak za izgradnju ovog dijela ceste je bio kada je donijeta odluka da se gradi drugi trak željezničke pruge. Provedba protupožarnog puta može se izvesti na prostorima neobradivih površina odmah uz prugu i u suglasnosti s Hrvatskim Željeznicama koje imaju namjeru širiti prugu sukladno njihovom planu, a koje su ujedno i vlasnici pojedinih čestica uz željezničku prugu. Potrebno je dogovoriti izradu plana za protupožarnu cestu prvenstveno zbog toga što će pojačana frekventnost željezničkog prometa stvarati višestruku ugrozu od izbijanja požara.</w:t>
            </w:r>
            <w:r>
              <w:rPr>
                <w:rFonts w:ascii="Arial" w:hAnsi="Arial" w:cs="Arial"/>
                <w:sz w:val="22"/>
                <w:szCs w:val="22"/>
              </w:rPr>
              <w:br/>
              <w:t xml:space="preserve">Dapače, ovo je u prethodno donesenim Pravilnicima Grada Rijeke bilo istaknuto kao potencijalni problem: „Najveću opasnost od izbijanja šumskih požara predstavlja željeznička pruga u Dragi te izuzetno veliko kretanje i poljoprivredne aktivnosti velikog broja stanovnika koji predstavljaju potencijalnu opasnost za izbijanje šumskih požara.“ Stoga se ovime ponovno predlaže razmatranje navedenog u pogledu zaštite od požara, te izgradnja ceste u navedenom dijelu </w:t>
            </w:r>
            <w:r>
              <w:rPr>
                <w:rFonts w:ascii="Arial" w:hAnsi="Arial" w:cs="Arial"/>
                <w:sz w:val="22"/>
                <w:szCs w:val="22"/>
              </w:rPr>
              <w:lastRenderedPageBreak/>
              <w:t>Sušačke Drage, u svrhu ispunjavanja zakonskih propisa o zaštiti od požara. Molimo da se navedeno uzme kao prioritetno u zaštiti stanovnika Rijeke i šuma od požara.</w:t>
            </w:r>
            <w:r>
              <w:rPr>
                <w:sz w:val="22"/>
                <w:szCs w:val="22"/>
              </w:rPr>
              <w:t xml:space="preserve"> </w:t>
            </w:r>
          </w:p>
        </w:tc>
        <w:tc>
          <w:tcPr>
            <w:tcW w:w="2883" w:type="dxa"/>
            <w:tcBorders>
              <w:top w:val="single" w:sz="2" w:space="0" w:color="auto"/>
              <w:left w:val="single" w:sz="2" w:space="0" w:color="auto"/>
              <w:bottom w:val="single" w:sz="18" w:space="0" w:color="auto"/>
              <w:right w:val="single" w:sz="18" w:space="0" w:color="auto"/>
            </w:tcBorders>
            <w:vAlign w:val="center"/>
            <w:hideMark/>
          </w:tcPr>
          <w:p w:rsidR="00372E28" w:rsidRPr="007E2E37" w:rsidRDefault="00372E28" w:rsidP="00372E28">
            <w:pPr>
              <w:spacing w:after="0"/>
              <w:rPr>
                <w:rFonts w:ascii="Arial" w:hAnsi="Arial" w:cs="Arial"/>
              </w:rPr>
            </w:pPr>
            <w:r w:rsidRPr="007E2E37">
              <w:rPr>
                <w:rFonts w:ascii="Arial" w:hAnsi="Arial" w:cs="Arial"/>
              </w:rPr>
              <w:lastRenderedPageBreak/>
              <w:t>Primjedba i prijedlog su načelni.</w:t>
            </w:r>
          </w:p>
          <w:p w:rsidR="00DB3F88" w:rsidRDefault="00DB3F88">
            <w:pPr>
              <w:rPr>
                <w:rFonts w:ascii="Arial" w:hAnsi="Arial" w:cs="Arial"/>
              </w:rPr>
            </w:pPr>
            <w:r>
              <w:rPr>
                <w:rFonts w:ascii="Arial" w:hAnsi="Arial" w:cs="Arial"/>
              </w:rPr>
              <w:t xml:space="preserve">Navedena problematika istoga (apel građana za izgradnjom  dodatnog dijela ceste uz prugu kao protupožarnog puta) odnosno  – potreba za izgradnjom novih prometnih rješenja (protupožarni put) nije predmet ovoga akta. </w:t>
            </w:r>
          </w:p>
          <w:p w:rsidR="00DB3F88" w:rsidRDefault="00DB3F88">
            <w:pPr>
              <w:rPr>
                <w:rFonts w:ascii="Arial" w:hAnsi="Arial" w:cs="Arial"/>
              </w:rPr>
            </w:pPr>
            <w:r>
              <w:rPr>
                <w:rFonts w:ascii="Arial" w:hAnsi="Arial" w:cs="Arial"/>
              </w:rPr>
              <w:t>Naime, razvojem grada, odnosno urbanizacijom koja se velikim dijelom temelji na potrebama stanovništva, posljedično su stvoreni dodatni  izazovi odnosno potrebe stanovništva po pitanju sigurnih i funkcionalnih prometnica, komunalne infrastrukture, zaštite od požara i ostalog.</w:t>
            </w:r>
          </w:p>
          <w:p w:rsidR="00DB3F88" w:rsidRDefault="00DB3F88" w:rsidP="00DB3F88">
            <w:pPr>
              <w:rPr>
                <w:rFonts w:ascii="Arial" w:hAnsi="Arial" w:cs="Arial"/>
                <w:sz w:val="24"/>
                <w:szCs w:val="20"/>
                <w:highlight w:val="yellow"/>
                <w:lang w:eastAsia="hr-HR"/>
              </w:rPr>
            </w:pPr>
            <w:r>
              <w:rPr>
                <w:rFonts w:ascii="Arial" w:hAnsi="Arial" w:cs="Arial"/>
              </w:rPr>
              <w:t xml:space="preserve">Prijedlogom Plana zaštite od požara za područje grada Rijeke naglašena je navedena problematika (članak 29. stavak 3.) s ciljem da se drugim aktima, prometnim rješenjima, projektima razvoja infrastrukture itd. unaprijedi odnosno osigura učinkovita vatrogasna intervencija. </w:t>
            </w:r>
          </w:p>
        </w:tc>
      </w:tr>
    </w:tbl>
    <w:p w:rsidR="006F115B" w:rsidRDefault="006F115B" w:rsidP="006F115B">
      <w:pPr>
        <w:pStyle w:val="Default"/>
        <w:ind w:left="-709"/>
        <w:jc w:val="both"/>
        <w:rPr>
          <w:rFonts w:ascii="Arial" w:hAnsi="Arial" w:cs="Arial"/>
          <w:sz w:val="22"/>
          <w:szCs w:val="22"/>
        </w:rPr>
      </w:pPr>
      <w:r>
        <w:rPr>
          <w:rFonts w:ascii="Arial" w:hAnsi="Arial" w:cs="Arial"/>
          <w:b/>
          <w:bCs/>
          <w:sz w:val="22"/>
          <w:szCs w:val="22"/>
        </w:rPr>
        <w:lastRenderedPageBreak/>
        <w:t xml:space="preserve">  </w:t>
      </w:r>
      <w:proofErr w:type="spellStart"/>
      <w:r w:rsidR="00F35892" w:rsidRPr="006F115B">
        <w:rPr>
          <w:rFonts w:ascii="Arial" w:hAnsi="Arial" w:cs="Arial"/>
          <w:b/>
          <w:bCs/>
          <w:sz w:val="22"/>
          <w:szCs w:val="22"/>
        </w:rPr>
        <w:t>Napomena</w:t>
      </w:r>
      <w:proofErr w:type="spellEnd"/>
      <w:r w:rsidR="00F35892" w:rsidRPr="006F115B">
        <w:rPr>
          <w:rFonts w:ascii="Arial" w:hAnsi="Arial" w:cs="Arial"/>
          <w:sz w:val="22"/>
          <w:szCs w:val="22"/>
        </w:rPr>
        <w:t xml:space="preserve">: U </w:t>
      </w:r>
      <w:proofErr w:type="spellStart"/>
      <w:r w:rsidR="00F35892" w:rsidRPr="006F115B">
        <w:rPr>
          <w:rFonts w:ascii="Arial" w:hAnsi="Arial" w:cs="Arial"/>
          <w:sz w:val="22"/>
          <w:szCs w:val="22"/>
        </w:rPr>
        <w:t>vremenu</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trajanja</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savjetovanja</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pristigle</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su</w:t>
      </w:r>
      <w:proofErr w:type="spellEnd"/>
      <w:r w:rsidR="00F35892" w:rsidRPr="006F115B">
        <w:rPr>
          <w:rFonts w:ascii="Arial" w:hAnsi="Arial" w:cs="Arial"/>
          <w:sz w:val="22"/>
          <w:szCs w:val="22"/>
        </w:rPr>
        <w:t xml:space="preserve"> </w:t>
      </w:r>
      <w:r w:rsidRPr="006F115B">
        <w:rPr>
          <w:rFonts w:ascii="Arial" w:hAnsi="Arial" w:cs="Arial"/>
          <w:sz w:val="22"/>
          <w:szCs w:val="22"/>
        </w:rPr>
        <w:t xml:space="preserve">tri </w:t>
      </w:r>
      <w:r w:rsidR="00F35892" w:rsidRPr="006F115B">
        <w:rPr>
          <w:rFonts w:ascii="Arial" w:hAnsi="Arial" w:cs="Arial"/>
          <w:sz w:val="22"/>
          <w:szCs w:val="22"/>
        </w:rPr>
        <w:t>(</w:t>
      </w:r>
      <w:r w:rsidRPr="006F115B">
        <w:rPr>
          <w:rFonts w:ascii="Arial" w:hAnsi="Arial" w:cs="Arial"/>
          <w:sz w:val="22"/>
          <w:szCs w:val="22"/>
        </w:rPr>
        <w:t>3</w:t>
      </w:r>
      <w:r w:rsidR="00F35892" w:rsidRPr="006F115B">
        <w:rPr>
          <w:rFonts w:ascii="Arial" w:hAnsi="Arial" w:cs="Arial"/>
          <w:sz w:val="22"/>
          <w:szCs w:val="22"/>
        </w:rPr>
        <w:t xml:space="preserve">) </w:t>
      </w:r>
      <w:proofErr w:type="spellStart"/>
      <w:r w:rsidR="00F35892" w:rsidRPr="006F115B">
        <w:rPr>
          <w:rFonts w:ascii="Arial" w:hAnsi="Arial" w:cs="Arial"/>
          <w:sz w:val="22"/>
          <w:szCs w:val="22"/>
        </w:rPr>
        <w:t>primjedbe</w:t>
      </w:r>
      <w:proofErr w:type="spellEnd"/>
      <w:r w:rsidR="00F35892" w:rsidRPr="006F115B">
        <w:rPr>
          <w:rFonts w:ascii="Arial" w:hAnsi="Arial" w:cs="Arial"/>
          <w:sz w:val="22"/>
          <w:szCs w:val="22"/>
        </w:rPr>
        <w:t>/</w:t>
      </w:r>
      <w:proofErr w:type="spellStart"/>
      <w:r w:rsidR="00F35892" w:rsidRPr="006F115B">
        <w:rPr>
          <w:rFonts w:ascii="Arial" w:hAnsi="Arial" w:cs="Arial"/>
          <w:sz w:val="22"/>
          <w:szCs w:val="22"/>
        </w:rPr>
        <w:t>prijedlozi</w:t>
      </w:r>
      <w:proofErr w:type="spellEnd"/>
      <w:r w:rsidR="00F35892" w:rsidRPr="006F115B">
        <w:rPr>
          <w:rFonts w:ascii="Arial" w:hAnsi="Arial" w:cs="Arial"/>
          <w:sz w:val="22"/>
          <w:szCs w:val="22"/>
        </w:rPr>
        <w:t>/</w:t>
      </w:r>
      <w:proofErr w:type="spellStart"/>
      <w:r w:rsidR="00F35892" w:rsidRPr="006F115B">
        <w:rPr>
          <w:rFonts w:ascii="Arial" w:hAnsi="Arial" w:cs="Arial"/>
          <w:sz w:val="22"/>
          <w:szCs w:val="22"/>
        </w:rPr>
        <w:t>komentari</w:t>
      </w:r>
      <w:proofErr w:type="spellEnd"/>
      <w:r w:rsidR="00F35892" w:rsidRPr="006F115B">
        <w:rPr>
          <w:rFonts w:ascii="Arial" w:hAnsi="Arial" w:cs="Arial"/>
          <w:sz w:val="22"/>
          <w:szCs w:val="22"/>
        </w:rPr>
        <w:t xml:space="preserve"> </w:t>
      </w:r>
    </w:p>
    <w:p w:rsidR="00F35892" w:rsidRPr="006F115B" w:rsidRDefault="006F115B" w:rsidP="006F115B">
      <w:pPr>
        <w:pStyle w:val="Default"/>
        <w:ind w:left="-709"/>
        <w:jc w:val="both"/>
        <w:rPr>
          <w:rFonts w:ascii="Arial" w:hAnsi="Arial" w:cs="Arial"/>
          <w:sz w:val="22"/>
          <w:szCs w:val="22"/>
        </w:rPr>
      </w:pPr>
      <w:r>
        <w:rPr>
          <w:rFonts w:ascii="Arial" w:hAnsi="Arial" w:cs="Arial"/>
          <w:b/>
          <w:bCs/>
          <w:sz w:val="22"/>
          <w:szCs w:val="22"/>
        </w:rPr>
        <w:t xml:space="preserve">  </w:t>
      </w:r>
      <w:proofErr w:type="spellStart"/>
      <w:proofErr w:type="gramStart"/>
      <w:r w:rsidR="00F35892" w:rsidRPr="006F115B">
        <w:rPr>
          <w:rFonts w:ascii="Arial" w:hAnsi="Arial" w:cs="Arial"/>
          <w:sz w:val="22"/>
          <w:szCs w:val="22"/>
        </w:rPr>
        <w:t>zainteresirane</w:t>
      </w:r>
      <w:proofErr w:type="spellEnd"/>
      <w:proofErr w:type="gramEnd"/>
      <w:r w:rsidR="00F35892" w:rsidRPr="006F115B">
        <w:rPr>
          <w:rFonts w:ascii="Arial" w:hAnsi="Arial" w:cs="Arial"/>
          <w:sz w:val="22"/>
          <w:szCs w:val="22"/>
        </w:rPr>
        <w:t xml:space="preserve"> </w:t>
      </w:r>
      <w:proofErr w:type="spellStart"/>
      <w:r w:rsidR="00F35892" w:rsidRPr="006F115B">
        <w:rPr>
          <w:rFonts w:ascii="Arial" w:hAnsi="Arial" w:cs="Arial"/>
          <w:sz w:val="22"/>
          <w:szCs w:val="22"/>
        </w:rPr>
        <w:t>javnosti</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na</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Nacrt</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prijedloga</w:t>
      </w:r>
      <w:proofErr w:type="spellEnd"/>
      <w:r w:rsidR="00F35892" w:rsidRPr="006F115B">
        <w:rPr>
          <w:rFonts w:ascii="Arial" w:hAnsi="Arial" w:cs="Arial"/>
          <w:sz w:val="22"/>
          <w:szCs w:val="22"/>
        </w:rPr>
        <w:t xml:space="preserve"> Plana </w:t>
      </w:r>
      <w:proofErr w:type="spellStart"/>
      <w:r w:rsidR="00F35892" w:rsidRPr="006F115B">
        <w:rPr>
          <w:rFonts w:ascii="Arial" w:hAnsi="Arial" w:cs="Arial"/>
          <w:sz w:val="22"/>
          <w:szCs w:val="22"/>
        </w:rPr>
        <w:t>zaštite</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od</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požara</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za</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područje</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grada</w:t>
      </w:r>
      <w:proofErr w:type="spellEnd"/>
      <w:r w:rsidR="00F35892" w:rsidRPr="006F115B">
        <w:rPr>
          <w:rFonts w:ascii="Arial" w:hAnsi="Arial" w:cs="Arial"/>
          <w:sz w:val="22"/>
          <w:szCs w:val="22"/>
        </w:rPr>
        <w:t xml:space="preserve"> </w:t>
      </w:r>
      <w:proofErr w:type="spellStart"/>
      <w:r w:rsidR="00F35892" w:rsidRPr="006F115B">
        <w:rPr>
          <w:rFonts w:ascii="Arial" w:hAnsi="Arial" w:cs="Arial"/>
          <w:sz w:val="22"/>
          <w:szCs w:val="22"/>
        </w:rPr>
        <w:t>Rijeke</w:t>
      </w:r>
      <w:proofErr w:type="spellEnd"/>
      <w:r w:rsidR="00F35892" w:rsidRPr="006F115B">
        <w:rPr>
          <w:rFonts w:ascii="Arial" w:hAnsi="Arial" w:cs="Arial"/>
          <w:sz w:val="22"/>
          <w:szCs w:val="22"/>
        </w:rPr>
        <w:t>.</w:t>
      </w:r>
      <w:r w:rsidR="00F35892" w:rsidRPr="006F115B">
        <w:rPr>
          <w:rFonts w:ascii="Arial" w:hAnsi="Arial" w:cs="Arial"/>
          <w:b/>
          <w:bCs/>
          <w:color w:val="auto"/>
          <w:sz w:val="22"/>
          <w:szCs w:val="22"/>
        </w:rPr>
        <w:t xml:space="preserve"> </w:t>
      </w:r>
    </w:p>
    <w:p w:rsidR="001E0FF5" w:rsidRPr="00F35892" w:rsidRDefault="001E0FF5" w:rsidP="00F35892">
      <w:pPr>
        <w:jc w:val="both"/>
        <w:rPr>
          <w:rFonts w:ascii="Arial" w:hAnsi="Arial" w:cs="Arial"/>
        </w:rPr>
      </w:pPr>
    </w:p>
    <w:sectPr w:rsidR="001E0FF5" w:rsidRPr="00F35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JTPF J+ Times">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D8"/>
    <w:rsid w:val="000956BE"/>
    <w:rsid w:val="00142B2A"/>
    <w:rsid w:val="001614E4"/>
    <w:rsid w:val="001E0FF5"/>
    <w:rsid w:val="001E1F5C"/>
    <w:rsid w:val="001E4375"/>
    <w:rsid w:val="00220018"/>
    <w:rsid w:val="00234545"/>
    <w:rsid w:val="0028722A"/>
    <w:rsid w:val="00301BAA"/>
    <w:rsid w:val="00302882"/>
    <w:rsid w:val="00331882"/>
    <w:rsid w:val="003669AB"/>
    <w:rsid w:val="00372E28"/>
    <w:rsid w:val="003C1AEF"/>
    <w:rsid w:val="003E5714"/>
    <w:rsid w:val="004559EC"/>
    <w:rsid w:val="00467F94"/>
    <w:rsid w:val="004A4FD8"/>
    <w:rsid w:val="004B3D0C"/>
    <w:rsid w:val="004D3748"/>
    <w:rsid w:val="004D4DAA"/>
    <w:rsid w:val="004F2E53"/>
    <w:rsid w:val="00510360"/>
    <w:rsid w:val="00597B31"/>
    <w:rsid w:val="005C05AC"/>
    <w:rsid w:val="005C660F"/>
    <w:rsid w:val="005C755A"/>
    <w:rsid w:val="006D1F13"/>
    <w:rsid w:val="006F115B"/>
    <w:rsid w:val="007E2E37"/>
    <w:rsid w:val="00800BDE"/>
    <w:rsid w:val="008504A6"/>
    <w:rsid w:val="008A335E"/>
    <w:rsid w:val="008A4C8D"/>
    <w:rsid w:val="0097490A"/>
    <w:rsid w:val="009B7F11"/>
    <w:rsid w:val="00A32261"/>
    <w:rsid w:val="00B1714A"/>
    <w:rsid w:val="00B7433D"/>
    <w:rsid w:val="00C1499B"/>
    <w:rsid w:val="00C461B6"/>
    <w:rsid w:val="00C8257F"/>
    <w:rsid w:val="00CF78FA"/>
    <w:rsid w:val="00D227A1"/>
    <w:rsid w:val="00DB3F88"/>
    <w:rsid w:val="00E74533"/>
    <w:rsid w:val="00EA691A"/>
    <w:rsid w:val="00EB024E"/>
    <w:rsid w:val="00EF66F0"/>
    <w:rsid w:val="00F048F9"/>
    <w:rsid w:val="00F35892"/>
    <w:rsid w:val="00F431D8"/>
    <w:rsid w:val="00F5655D"/>
    <w:rsid w:val="00FC4F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E167B-F2EF-42D7-8305-771DD7D5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431D8"/>
    <w:pPr>
      <w:spacing w:after="0" w:line="240" w:lineRule="auto"/>
    </w:pPr>
  </w:style>
  <w:style w:type="paragraph" w:customStyle="1" w:styleId="Default">
    <w:name w:val="Default"/>
    <w:rsid w:val="00F431D8"/>
    <w:pPr>
      <w:autoSpaceDE w:val="0"/>
      <w:autoSpaceDN w:val="0"/>
      <w:adjustRightInd w:val="0"/>
      <w:spacing w:after="0" w:line="240" w:lineRule="auto"/>
    </w:pPr>
    <w:rPr>
      <w:rFonts w:ascii="UJTPF J+ Times" w:eastAsia="Calibri" w:hAnsi="UJTPF J+ Times" w:cs="UJTPF J+ Times"/>
      <w:color w:val="000000"/>
      <w:sz w:val="24"/>
      <w:szCs w:val="24"/>
      <w:lang w:val="en-US"/>
    </w:rPr>
  </w:style>
  <w:style w:type="paragraph" w:styleId="NormalWeb">
    <w:name w:val="Normal (Web)"/>
    <w:basedOn w:val="Normal"/>
    <w:uiPriority w:val="99"/>
    <w:unhideWhenUsed/>
    <w:rsid w:val="00F35892"/>
    <w:pPr>
      <w:spacing w:before="100" w:beforeAutospacing="1" w:after="100" w:afterAutospacing="1" w:line="240" w:lineRule="auto"/>
    </w:pPr>
    <w:rPr>
      <w:rFonts w:ascii="Times New Roman" w:eastAsia="Calibri" w:hAnsi="Times New Roman" w:cs="Times New Roman"/>
      <w:sz w:val="24"/>
      <w:szCs w:val="24"/>
      <w:lang w:eastAsia="hr-HR"/>
    </w:rPr>
  </w:style>
  <w:style w:type="paragraph" w:styleId="BalloonText">
    <w:name w:val="Balloon Text"/>
    <w:basedOn w:val="Normal"/>
    <w:link w:val="BalloonTextChar"/>
    <w:uiPriority w:val="99"/>
    <w:semiHidden/>
    <w:unhideWhenUsed/>
    <w:rsid w:val="003E5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7167">
      <w:bodyDiv w:val="1"/>
      <w:marLeft w:val="0"/>
      <w:marRight w:val="0"/>
      <w:marTop w:val="0"/>
      <w:marBottom w:val="0"/>
      <w:divBdr>
        <w:top w:val="none" w:sz="0" w:space="0" w:color="auto"/>
        <w:left w:val="none" w:sz="0" w:space="0" w:color="auto"/>
        <w:bottom w:val="none" w:sz="0" w:space="0" w:color="auto"/>
        <w:right w:val="none" w:sz="0" w:space="0" w:color="auto"/>
      </w:divBdr>
    </w:div>
    <w:div w:id="15378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Tatalović Maja</dc:creator>
  <cp:keywords/>
  <dc:description/>
  <cp:lastModifiedBy>Labudović Maržić Vesna</cp:lastModifiedBy>
  <cp:revision>3</cp:revision>
  <cp:lastPrinted>2024-07-26T11:04:00Z</cp:lastPrinted>
  <dcterms:created xsi:type="dcterms:W3CDTF">2024-07-26T13:01:00Z</dcterms:created>
  <dcterms:modified xsi:type="dcterms:W3CDTF">2024-07-26T13:03:00Z</dcterms:modified>
</cp:coreProperties>
</file>