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CF56" w14:textId="744E7E94" w:rsidR="00E138B4" w:rsidRDefault="00E138B4" w:rsidP="00E138B4">
      <w:pPr>
        <w:spacing w:after="0"/>
        <w:rPr>
          <w:rFonts w:ascii="Arial" w:hAnsi="Arial" w:cs="Arial"/>
        </w:rPr>
      </w:pPr>
      <w:bookmarkStart w:id="0" w:name="_GoBack"/>
      <w:bookmarkEnd w:id="0"/>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091"/>
        <w:gridCol w:w="8118"/>
      </w:tblGrid>
      <w:tr w:rsidR="00E138B4" w:rsidRPr="00E138B4" w14:paraId="784374C5" w14:textId="77777777" w:rsidTr="00E138B4">
        <w:trPr>
          <w:trHeight w:val="416"/>
          <w:jc w:val="center"/>
        </w:trPr>
        <w:tc>
          <w:tcPr>
            <w:tcW w:w="5000" w:type="pct"/>
            <w:gridSpan w:val="2"/>
            <w:tcBorders>
              <w:top w:val="single" w:sz="18" w:space="0" w:color="auto"/>
              <w:left w:val="single" w:sz="18" w:space="0" w:color="auto"/>
              <w:bottom w:val="single" w:sz="2" w:space="0" w:color="auto"/>
              <w:right w:val="single" w:sz="18" w:space="0" w:color="auto"/>
            </w:tcBorders>
            <w:vAlign w:val="center"/>
            <w:hideMark/>
          </w:tcPr>
          <w:p w14:paraId="6B78117A" w14:textId="77777777" w:rsidR="00E138B4" w:rsidRPr="00E138B4" w:rsidRDefault="00E138B4" w:rsidP="00E138B4">
            <w:pPr>
              <w:spacing w:after="0" w:line="240" w:lineRule="auto"/>
              <w:jc w:val="center"/>
              <w:rPr>
                <w:rFonts w:ascii="Arial" w:eastAsia="Times New Roman" w:hAnsi="Arial" w:cs="Arial"/>
                <w:b/>
                <w:sz w:val="20"/>
                <w:szCs w:val="20"/>
                <w:lang w:eastAsia="hr-HR"/>
              </w:rPr>
            </w:pPr>
            <w:r w:rsidRPr="00E138B4">
              <w:rPr>
                <w:rFonts w:ascii="Arial" w:eastAsia="Times New Roman" w:hAnsi="Arial" w:cs="Arial"/>
                <w:b/>
                <w:sz w:val="20"/>
                <w:szCs w:val="20"/>
                <w:lang w:eastAsia="hr-HR"/>
              </w:rPr>
              <w:t>IZVJEŠĆE O PROVEDENOM SAVJETOVANJU SA JAVNOŠĆU</w:t>
            </w:r>
          </w:p>
        </w:tc>
      </w:tr>
      <w:tr w:rsidR="00E138B4" w:rsidRPr="00E138B4" w14:paraId="560F5EF3" w14:textId="77777777" w:rsidTr="00E138B4">
        <w:trPr>
          <w:trHeight w:val="415"/>
          <w:jc w:val="center"/>
        </w:trPr>
        <w:tc>
          <w:tcPr>
            <w:tcW w:w="5000" w:type="pct"/>
            <w:gridSpan w:val="2"/>
            <w:tcBorders>
              <w:top w:val="single" w:sz="2" w:space="0" w:color="auto"/>
              <w:left w:val="single" w:sz="18" w:space="0" w:color="auto"/>
              <w:bottom w:val="single" w:sz="2" w:space="0" w:color="auto"/>
              <w:right w:val="single" w:sz="18" w:space="0" w:color="auto"/>
            </w:tcBorders>
            <w:vAlign w:val="center"/>
            <w:hideMark/>
          </w:tcPr>
          <w:p w14:paraId="4EE3A8B8" w14:textId="77777777" w:rsidR="00E138B4" w:rsidRPr="00E138B4" w:rsidRDefault="00E138B4" w:rsidP="00E138B4">
            <w:pPr>
              <w:spacing w:after="0" w:line="240" w:lineRule="auto"/>
              <w:ind w:left="1410" w:hanging="1410"/>
              <w:jc w:val="both"/>
              <w:rPr>
                <w:rFonts w:ascii="Arial" w:eastAsia="Times New Roman" w:hAnsi="Arial" w:cs="Arial"/>
                <w:sz w:val="20"/>
                <w:szCs w:val="20"/>
                <w:lang w:eastAsia="hr-HR"/>
              </w:rPr>
            </w:pPr>
            <w:r w:rsidRPr="00E138B4">
              <w:rPr>
                <w:rFonts w:ascii="Arial" w:eastAsia="Times New Roman" w:hAnsi="Arial" w:cs="Arial"/>
                <w:sz w:val="20"/>
                <w:szCs w:val="20"/>
                <w:lang w:eastAsia="hr-HR"/>
              </w:rPr>
              <w:t xml:space="preserve">Naziv akta o kojem je savjetovanje provedeno: </w:t>
            </w:r>
          </w:p>
          <w:p w14:paraId="0ECC7E21" w14:textId="77777777" w:rsidR="00E138B4" w:rsidRPr="00E138B4" w:rsidRDefault="00E138B4" w:rsidP="00E138B4">
            <w:pPr>
              <w:spacing w:after="0" w:line="240" w:lineRule="auto"/>
              <w:jc w:val="both"/>
              <w:rPr>
                <w:rFonts w:ascii="Arial" w:eastAsia="Times New Roman" w:hAnsi="Arial" w:cs="Arial"/>
                <w:sz w:val="20"/>
                <w:szCs w:val="20"/>
                <w:lang w:eastAsia="hr-HR"/>
              </w:rPr>
            </w:pPr>
            <w:r w:rsidRPr="00E138B4">
              <w:rPr>
                <w:rFonts w:ascii="Arial" w:eastAsia="Times New Roman" w:hAnsi="Arial" w:cs="Arial"/>
                <w:sz w:val="20"/>
                <w:szCs w:val="20"/>
                <w:lang w:eastAsia="hr-HR"/>
              </w:rPr>
              <w:t>Nacrt prijedloga Odluke o prodaji stanova u vlasništvu Grada Rijeke</w:t>
            </w:r>
          </w:p>
        </w:tc>
      </w:tr>
      <w:tr w:rsidR="00E138B4" w:rsidRPr="00E138B4" w14:paraId="5B20B491" w14:textId="77777777" w:rsidTr="00E138B4">
        <w:trPr>
          <w:trHeight w:val="845"/>
          <w:jc w:val="center"/>
        </w:trPr>
        <w:tc>
          <w:tcPr>
            <w:tcW w:w="5000" w:type="pct"/>
            <w:gridSpan w:val="2"/>
            <w:tcBorders>
              <w:top w:val="single" w:sz="2" w:space="0" w:color="auto"/>
              <w:left w:val="single" w:sz="18" w:space="0" w:color="auto"/>
              <w:bottom w:val="single" w:sz="12" w:space="0" w:color="auto"/>
              <w:right w:val="single" w:sz="18" w:space="0" w:color="auto"/>
            </w:tcBorders>
            <w:vAlign w:val="center"/>
            <w:hideMark/>
          </w:tcPr>
          <w:p w14:paraId="26BA7B80" w14:textId="77777777" w:rsidR="00E138B4" w:rsidRPr="00E138B4" w:rsidRDefault="00E138B4" w:rsidP="00E138B4">
            <w:pPr>
              <w:spacing w:after="0" w:line="240" w:lineRule="auto"/>
              <w:jc w:val="both"/>
              <w:rPr>
                <w:rFonts w:ascii="Arial" w:eastAsia="Times New Roman" w:hAnsi="Arial" w:cs="Arial"/>
                <w:sz w:val="20"/>
                <w:szCs w:val="20"/>
                <w:lang w:eastAsia="hr-HR"/>
              </w:rPr>
            </w:pPr>
            <w:r w:rsidRPr="00E138B4">
              <w:rPr>
                <w:rFonts w:ascii="Arial" w:eastAsia="Times New Roman" w:hAnsi="Arial" w:cs="Arial"/>
                <w:sz w:val="20"/>
                <w:szCs w:val="20"/>
                <w:lang w:eastAsia="hr-HR"/>
              </w:rPr>
              <w:t>Vrijeme trajanja savjetovanja: Savjetovanje je provedeno u trajanju od 30 dana odnosno od dana 30. srpnja 2024. godine do dana 29. kolovoza 2024. godine</w:t>
            </w:r>
          </w:p>
        </w:tc>
      </w:tr>
      <w:tr w:rsidR="00E138B4" w:rsidRPr="00E138B4" w14:paraId="63BA30CC" w14:textId="77777777" w:rsidTr="00E138B4">
        <w:trPr>
          <w:trHeight w:val="845"/>
          <w:jc w:val="center"/>
        </w:trPr>
        <w:tc>
          <w:tcPr>
            <w:tcW w:w="1024" w:type="pct"/>
            <w:tcBorders>
              <w:top w:val="single" w:sz="12" w:space="0" w:color="auto"/>
              <w:left w:val="single" w:sz="18" w:space="0" w:color="auto"/>
              <w:bottom w:val="single" w:sz="18" w:space="0" w:color="auto"/>
              <w:right w:val="single" w:sz="12" w:space="0" w:color="auto"/>
            </w:tcBorders>
            <w:vAlign w:val="center"/>
            <w:hideMark/>
          </w:tcPr>
          <w:p w14:paraId="10BBFB11" w14:textId="77777777" w:rsidR="00E138B4" w:rsidRPr="00E138B4" w:rsidRDefault="00E138B4" w:rsidP="00E138B4">
            <w:pPr>
              <w:spacing w:after="0" w:line="240" w:lineRule="auto"/>
              <w:jc w:val="center"/>
              <w:rPr>
                <w:rFonts w:ascii="Arial" w:eastAsia="Times New Roman" w:hAnsi="Arial" w:cs="Arial"/>
                <w:sz w:val="20"/>
                <w:szCs w:val="20"/>
                <w:lang w:eastAsia="hr-HR"/>
              </w:rPr>
            </w:pPr>
            <w:r w:rsidRPr="00E138B4">
              <w:rPr>
                <w:rFonts w:ascii="Arial" w:eastAsia="Times New Roman" w:hAnsi="Arial" w:cs="Arial"/>
                <w:sz w:val="20"/>
                <w:szCs w:val="20"/>
                <w:lang w:eastAsia="hr-HR"/>
              </w:rPr>
              <w:t>Cilj i glavne teme savjetovanja</w:t>
            </w:r>
          </w:p>
        </w:tc>
        <w:tc>
          <w:tcPr>
            <w:tcW w:w="3976" w:type="pct"/>
            <w:tcBorders>
              <w:top w:val="single" w:sz="12" w:space="0" w:color="auto"/>
              <w:left w:val="single" w:sz="12" w:space="0" w:color="auto"/>
              <w:bottom w:val="single" w:sz="18" w:space="0" w:color="auto"/>
              <w:right w:val="single" w:sz="18" w:space="0" w:color="auto"/>
            </w:tcBorders>
            <w:vAlign w:val="center"/>
            <w:hideMark/>
          </w:tcPr>
          <w:p w14:paraId="169B6D3B" w14:textId="77777777" w:rsidR="00E138B4" w:rsidRPr="00E138B4" w:rsidRDefault="00E138B4" w:rsidP="00E138B4">
            <w:pPr>
              <w:spacing w:after="0" w:line="240" w:lineRule="auto"/>
              <w:jc w:val="both"/>
              <w:rPr>
                <w:rFonts w:ascii="Arial" w:eastAsia="Times New Roman" w:hAnsi="Arial" w:cs="Arial"/>
                <w:sz w:val="20"/>
                <w:szCs w:val="20"/>
                <w:lang w:eastAsia="hr-HR"/>
              </w:rPr>
            </w:pPr>
            <w:r w:rsidRPr="00E138B4">
              <w:rPr>
                <w:rFonts w:ascii="Arial" w:eastAsia="Times New Roman" w:hAnsi="Arial" w:cs="Arial"/>
                <w:sz w:val="20"/>
                <w:szCs w:val="20"/>
                <w:lang w:eastAsia="hr-HR"/>
              </w:rPr>
              <w:t>Osnovni cilj savjetovanja bio je dobivanje povratnih informacija od javnosti u svezi novina predloženih Nacrtom prijedloga Odluke o prodaji stanova u vlasništvu Grada Rijeke.</w:t>
            </w:r>
          </w:p>
        </w:tc>
      </w:tr>
    </w:tbl>
    <w:p w14:paraId="7EA3E901" w14:textId="77777777" w:rsidR="00E138B4" w:rsidRPr="00E138B4" w:rsidRDefault="00E138B4" w:rsidP="00E138B4">
      <w:pPr>
        <w:tabs>
          <w:tab w:val="center" w:pos="4320"/>
          <w:tab w:val="right" w:pos="8640"/>
        </w:tabs>
        <w:spacing w:after="0" w:line="240" w:lineRule="auto"/>
        <w:rPr>
          <w:rFonts w:ascii="Arial" w:eastAsia="Times New Roman" w:hAnsi="Arial" w:cs="Arial"/>
          <w:b/>
          <w:szCs w:val="20"/>
          <w:lang w:eastAsia="hr-HR"/>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708"/>
        <w:gridCol w:w="1407"/>
        <w:gridCol w:w="1182"/>
        <w:gridCol w:w="3686"/>
        <w:gridCol w:w="3226"/>
      </w:tblGrid>
      <w:tr w:rsidR="00E138B4" w:rsidRPr="00E138B4" w14:paraId="21E071A6" w14:textId="77777777" w:rsidTr="0049166B">
        <w:trPr>
          <w:jc w:val="center"/>
        </w:trPr>
        <w:tc>
          <w:tcPr>
            <w:tcW w:w="0" w:type="auto"/>
            <w:tcBorders>
              <w:top w:val="single" w:sz="18" w:space="0" w:color="auto"/>
              <w:left w:val="single" w:sz="18" w:space="0" w:color="auto"/>
              <w:bottom w:val="single" w:sz="2" w:space="0" w:color="auto"/>
              <w:right w:val="single" w:sz="2" w:space="0" w:color="auto"/>
            </w:tcBorders>
            <w:vAlign w:val="center"/>
            <w:hideMark/>
          </w:tcPr>
          <w:p w14:paraId="712EDA19"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Redni broj</w:t>
            </w:r>
          </w:p>
        </w:tc>
        <w:tc>
          <w:tcPr>
            <w:tcW w:w="0" w:type="auto"/>
            <w:tcBorders>
              <w:top w:val="single" w:sz="18" w:space="0" w:color="auto"/>
              <w:left w:val="single" w:sz="2" w:space="0" w:color="auto"/>
              <w:bottom w:val="single" w:sz="2" w:space="0" w:color="auto"/>
              <w:right w:val="single" w:sz="2" w:space="0" w:color="auto"/>
            </w:tcBorders>
            <w:vAlign w:val="center"/>
            <w:hideMark/>
          </w:tcPr>
          <w:p w14:paraId="2D71F256"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Naziv dionika (pojedinac, organizacija, institucija)</w:t>
            </w:r>
          </w:p>
        </w:tc>
        <w:tc>
          <w:tcPr>
            <w:tcW w:w="0" w:type="auto"/>
            <w:tcBorders>
              <w:top w:val="single" w:sz="18" w:space="0" w:color="auto"/>
              <w:left w:val="single" w:sz="2" w:space="0" w:color="auto"/>
              <w:bottom w:val="single" w:sz="4" w:space="0" w:color="auto"/>
              <w:right w:val="single" w:sz="4" w:space="0" w:color="auto"/>
            </w:tcBorders>
            <w:vAlign w:val="center"/>
            <w:hideMark/>
          </w:tcPr>
          <w:p w14:paraId="076A8D76"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Članak na koji se odnosi primjedba/</w:t>
            </w:r>
          </w:p>
          <w:p w14:paraId="1DC18E88"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prijedlog</w:t>
            </w:r>
          </w:p>
        </w:tc>
        <w:tc>
          <w:tcPr>
            <w:tcW w:w="0" w:type="auto"/>
            <w:tcBorders>
              <w:top w:val="single" w:sz="18" w:space="0" w:color="auto"/>
              <w:left w:val="single" w:sz="4" w:space="0" w:color="auto"/>
              <w:bottom w:val="single" w:sz="2" w:space="0" w:color="auto"/>
              <w:right w:val="single" w:sz="4" w:space="0" w:color="auto"/>
            </w:tcBorders>
            <w:vAlign w:val="center"/>
            <w:hideMark/>
          </w:tcPr>
          <w:p w14:paraId="2585C6C2"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Tekst primjedbe/prijedloga</w:t>
            </w:r>
          </w:p>
        </w:tc>
        <w:tc>
          <w:tcPr>
            <w:tcW w:w="0" w:type="auto"/>
            <w:tcBorders>
              <w:top w:val="single" w:sz="18" w:space="0" w:color="auto"/>
              <w:left w:val="single" w:sz="4" w:space="0" w:color="auto"/>
              <w:bottom w:val="single" w:sz="2" w:space="0" w:color="auto"/>
              <w:right w:val="single" w:sz="18" w:space="0" w:color="auto"/>
            </w:tcBorders>
            <w:vAlign w:val="center"/>
            <w:hideMark/>
          </w:tcPr>
          <w:p w14:paraId="1826C1AB" w14:textId="77777777" w:rsidR="00E138B4" w:rsidRPr="00E138B4" w:rsidRDefault="00E138B4" w:rsidP="00E138B4">
            <w:pPr>
              <w:spacing w:after="0" w:line="240" w:lineRule="auto"/>
              <w:jc w:val="center"/>
              <w:rPr>
                <w:rFonts w:ascii="Arial" w:eastAsia="Times New Roman" w:hAnsi="Arial" w:cs="Arial"/>
                <w:sz w:val="18"/>
                <w:szCs w:val="20"/>
                <w:lang w:eastAsia="hr-HR"/>
              </w:rPr>
            </w:pPr>
            <w:r w:rsidRPr="00E138B4">
              <w:rPr>
                <w:rFonts w:ascii="Arial" w:eastAsia="Times New Roman" w:hAnsi="Arial" w:cs="Arial"/>
                <w:sz w:val="18"/>
                <w:szCs w:val="20"/>
                <w:lang w:eastAsia="hr-HR"/>
              </w:rPr>
              <w:t>Prihvaćanje/ neprihvaćanje primjedbe ili prijedloga</w:t>
            </w:r>
          </w:p>
        </w:tc>
      </w:tr>
      <w:tr w:rsidR="00E138B4" w:rsidRPr="00E138B4" w14:paraId="4965E368" w14:textId="77777777" w:rsidTr="0049166B">
        <w:trPr>
          <w:jc w:val="center"/>
        </w:trPr>
        <w:tc>
          <w:tcPr>
            <w:tcW w:w="0" w:type="auto"/>
            <w:tcBorders>
              <w:top w:val="single" w:sz="2" w:space="0" w:color="auto"/>
              <w:left w:val="single" w:sz="18" w:space="0" w:color="auto"/>
              <w:bottom w:val="single" w:sz="18" w:space="0" w:color="auto"/>
              <w:right w:val="single" w:sz="4" w:space="0" w:color="auto"/>
            </w:tcBorders>
          </w:tcPr>
          <w:p w14:paraId="3A74AD72"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p>
          <w:p w14:paraId="292EB479"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1.</w:t>
            </w:r>
          </w:p>
          <w:p w14:paraId="7FCE596C"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p>
        </w:tc>
        <w:tc>
          <w:tcPr>
            <w:tcW w:w="0" w:type="auto"/>
            <w:tcBorders>
              <w:top w:val="single" w:sz="2" w:space="0" w:color="auto"/>
              <w:left w:val="single" w:sz="4" w:space="0" w:color="auto"/>
              <w:bottom w:val="single" w:sz="18" w:space="0" w:color="auto"/>
              <w:right w:val="single" w:sz="2" w:space="0" w:color="auto"/>
            </w:tcBorders>
          </w:tcPr>
          <w:p w14:paraId="2A4991C7" w14:textId="77777777" w:rsidR="00E138B4" w:rsidRPr="00E138B4" w:rsidRDefault="00E138B4" w:rsidP="00E138B4">
            <w:pPr>
              <w:spacing w:after="0" w:line="240" w:lineRule="auto"/>
              <w:jc w:val="both"/>
              <w:rPr>
                <w:rFonts w:ascii="Arial" w:eastAsia="Times New Roman" w:hAnsi="Arial" w:cs="Arial"/>
                <w:sz w:val="18"/>
                <w:szCs w:val="20"/>
                <w:lang w:eastAsia="hr-HR"/>
              </w:rPr>
            </w:pPr>
          </w:p>
          <w:p w14:paraId="636A376A"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Pod rednim brojem 1.</w:t>
            </w:r>
          </w:p>
          <w:p w14:paraId="7CDCB937"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p>
          <w:p w14:paraId="3ABA7FC5"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p>
          <w:p w14:paraId="528C0D47" w14:textId="77777777" w:rsidR="00E138B4" w:rsidRPr="00E138B4" w:rsidRDefault="00E138B4" w:rsidP="00E138B4">
            <w:pPr>
              <w:spacing w:after="0" w:line="240" w:lineRule="auto"/>
              <w:jc w:val="both"/>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Građanin</w:t>
            </w:r>
          </w:p>
        </w:tc>
        <w:tc>
          <w:tcPr>
            <w:tcW w:w="0" w:type="auto"/>
            <w:tcBorders>
              <w:top w:val="single" w:sz="2" w:space="0" w:color="auto"/>
              <w:left w:val="single" w:sz="2" w:space="0" w:color="auto"/>
              <w:bottom w:val="single" w:sz="18" w:space="0" w:color="auto"/>
              <w:right w:val="single" w:sz="4" w:space="0" w:color="auto"/>
            </w:tcBorders>
          </w:tcPr>
          <w:p w14:paraId="61E63F79" w14:textId="77777777" w:rsidR="00E138B4" w:rsidRPr="00E138B4" w:rsidRDefault="00E138B4" w:rsidP="00E138B4">
            <w:pPr>
              <w:spacing w:after="0" w:line="240" w:lineRule="auto"/>
              <w:rPr>
                <w:rFonts w:ascii="Arial" w:eastAsia="Times New Roman" w:hAnsi="Arial" w:cs="Arial"/>
                <w:b/>
                <w:sz w:val="18"/>
                <w:szCs w:val="20"/>
                <w:u w:val="single"/>
                <w:lang w:eastAsia="hr-HR"/>
              </w:rPr>
            </w:pPr>
          </w:p>
          <w:p w14:paraId="591DE743" w14:textId="77777777" w:rsidR="00E138B4" w:rsidRPr="00E138B4" w:rsidRDefault="00E138B4" w:rsidP="00E138B4">
            <w:pPr>
              <w:spacing w:after="0" w:line="240" w:lineRule="auto"/>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Članak 13., članak 14. i članak 15.</w:t>
            </w:r>
          </w:p>
          <w:p w14:paraId="6B3DDB2A" w14:textId="77777777" w:rsidR="00E138B4" w:rsidRPr="00E138B4" w:rsidRDefault="00E138B4" w:rsidP="00E138B4">
            <w:pPr>
              <w:spacing w:after="0" w:line="240" w:lineRule="auto"/>
              <w:rPr>
                <w:rFonts w:ascii="Arial" w:eastAsia="Times New Roman" w:hAnsi="Arial" w:cs="Arial"/>
                <w:sz w:val="18"/>
                <w:szCs w:val="20"/>
                <w:lang w:eastAsia="hr-HR"/>
              </w:rPr>
            </w:pPr>
          </w:p>
        </w:tc>
        <w:tc>
          <w:tcPr>
            <w:tcW w:w="0" w:type="auto"/>
            <w:tcBorders>
              <w:top w:val="single" w:sz="2" w:space="0" w:color="auto"/>
              <w:left w:val="single" w:sz="4" w:space="0" w:color="auto"/>
              <w:bottom w:val="single" w:sz="18" w:space="0" w:color="auto"/>
              <w:right w:val="single" w:sz="2" w:space="0" w:color="auto"/>
            </w:tcBorders>
          </w:tcPr>
          <w:p w14:paraId="3F0DD4B1" w14:textId="77777777" w:rsidR="00E138B4" w:rsidRPr="00E138B4" w:rsidRDefault="00E138B4" w:rsidP="00E138B4">
            <w:pPr>
              <w:spacing w:after="0" w:line="240" w:lineRule="auto"/>
              <w:rPr>
                <w:rFonts w:ascii="Times New Roman" w:eastAsia="Times New Roman" w:hAnsi="Times New Roman" w:cs="Times New Roman"/>
                <w:sz w:val="18"/>
                <w:szCs w:val="20"/>
                <w:lang w:eastAsia="hr-HR"/>
              </w:rPr>
            </w:pPr>
          </w:p>
          <w:p w14:paraId="10A55CA6" w14:textId="77777777" w:rsidR="00E138B4" w:rsidRPr="00E138B4" w:rsidRDefault="00E138B4" w:rsidP="00E138B4">
            <w:pPr>
              <w:spacing w:after="0" w:line="240" w:lineRule="auto"/>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Pod rednim brojem 1.</w:t>
            </w:r>
          </w:p>
          <w:p w14:paraId="32E017AF" w14:textId="77777777" w:rsidR="00E138B4" w:rsidRPr="00E138B4" w:rsidRDefault="00E138B4" w:rsidP="00E138B4">
            <w:pPr>
              <w:spacing w:after="0" w:line="240" w:lineRule="auto"/>
              <w:rPr>
                <w:rFonts w:ascii="Arial" w:eastAsia="Times New Roman" w:hAnsi="Arial" w:cs="Arial"/>
                <w:b/>
                <w:sz w:val="18"/>
                <w:szCs w:val="20"/>
                <w:u w:val="single"/>
                <w:lang w:eastAsia="hr-HR"/>
              </w:rPr>
            </w:pPr>
          </w:p>
          <w:p w14:paraId="59F96412" w14:textId="77777777" w:rsidR="00E138B4" w:rsidRPr="00E138B4" w:rsidRDefault="00E138B4" w:rsidP="00E138B4">
            <w:pPr>
              <w:spacing w:after="0" w:line="240" w:lineRule="auto"/>
              <w:rPr>
                <w:rFonts w:ascii="Arial" w:eastAsia="Times New Roman" w:hAnsi="Arial" w:cs="Arial"/>
                <w:b/>
                <w:sz w:val="18"/>
                <w:szCs w:val="20"/>
                <w:u w:val="single"/>
                <w:lang w:eastAsia="hr-HR"/>
              </w:rPr>
            </w:pPr>
          </w:p>
          <w:p w14:paraId="22516B31" w14:textId="77777777" w:rsidR="00E138B4" w:rsidRPr="00E138B4" w:rsidRDefault="00E138B4" w:rsidP="00E138B4">
            <w:pPr>
              <w:spacing w:after="0" w:line="240" w:lineRule="auto"/>
              <w:jc w:val="both"/>
              <w:rPr>
                <w:rFonts w:ascii="Arial" w:eastAsia="Times New Roman" w:hAnsi="Arial" w:cs="Arial"/>
                <w:sz w:val="18"/>
                <w:szCs w:val="20"/>
                <w:lang w:eastAsia="hr-HR"/>
              </w:rPr>
            </w:pPr>
          </w:p>
          <w:p w14:paraId="2889F7B1" w14:textId="77777777" w:rsidR="00E138B4" w:rsidRPr="00E138B4" w:rsidRDefault="00E138B4" w:rsidP="00E138B4">
            <w:pPr>
              <w:spacing w:after="0" w:line="240" w:lineRule="auto"/>
              <w:jc w:val="both"/>
              <w:rPr>
                <w:rFonts w:ascii="Arial" w:eastAsia="Times New Roman" w:hAnsi="Arial" w:cs="Arial"/>
                <w:sz w:val="18"/>
                <w:szCs w:val="20"/>
                <w:lang w:eastAsia="hr-HR"/>
              </w:rPr>
            </w:pPr>
            <w:r w:rsidRPr="00E138B4">
              <w:rPr>
                <w:rFonts w:ascii="Arial" w:eastAsia="Times New Roman" w:hAnsi="Arial" w:cs="Arial"/>
                <w:sz w:val="18"/>
                <w:szCs w:val="20"/>
                <w:lang w:eastAsia="hr-HR"/>
              </w:rPr>
              <w:t>Prodaja stanova putem prikupljenih ponuda nije transparentna i nije svrsishodna.</w:t>
            </w:r>
          </w:p>
          <w:p w14:paraId="4FF00051" w14:textId="77777777" w:rsidR="00E138B4" w:rsidRPr="00E138B4" w:rsidRDefault="00E138B4" w:rsidP="00E138B4">
            <w:pPr>
              <w:spacing w:after="0" w:line="240" w:lineRule="auto"/>
              <w:jc w:val="both"/>
              <w:rPr>
                <w:rFonts w:ascii="Arial" w:eastAsia="Times New Roman" w:hAnsi="Arial" w:cs="Arial"/>
                <w:sz w:val="18"/>
                <w:szCs w:val="20"/>
                <w:lang w:eastAsia="hr-HR"/>
              </w:rPr>
            </w:pPr>
            <w:r w:rsidRPr="00E138B4">
              <w:rPr>
                <w:rFonts w:ascii="Arial" w:eastAsia="Times New Roman" w:hAnsi="Arial" w:cs="Arial"/>
                <w:sz w:val="18"/>
                <w:szCs w:val="20"/>
                <w:lang w:eastAsia="hr-HR"/>
              </w:rPr>
              <w:t>Obavezno provesti usmenu licitaciju.</w:t>
            </w:r>
          </w:p>
          <w:p w14:paraId="4548F40C" w14:textId="77777777" w:rsidR="00E138B4" w:rsidRPr="00E138B4" w:rsidRDefault="00E138B4" w:rsidP="00E138B4">
            <w:pPr>
              <w:spacing w:after="0" w:line="240" w:lineRule="auto"/>
              <w:jc w:val="both"/>
              <w:rPr>
                <w:rFonts w:ascii="Arial" w:eastAsia="Times New Roman" w:hAnsi="Arial" w:cs="Arial"/>
                <w:sz w:val="18"/>
                <w:szCs w:val="20"/>
                <w:lang w:eastAsia="hr-HR"/>
              </w:rPr>
            </w:pPr>
            <w:r w:rsidRPr="00E138B4">
              <w:rPr>
                <w:rFonts w:ascii="Arial" w:eastAsia="Times New Roman" w:hAnsi="Arial" w:cs="Arial"/>
                <w:sz w:val="18"/>
                <w:szCs w:val="20"/>
                <w:lang w:eastAsia="hr-HR"/>
              </w:rPr>
              <w:t>Iz više razloga.</w:t>
            </w:r>
          </w:p>
          <w:p w14:paraId="1AC75B49" w14:textId="77777777" w:rsidR="00E138B4" w:rsidRPr="00E138B4" w:rsidRDefault="00E138B4" w:rsidP="00E138B4">
            <w:pPr>
              <w:spacing w:after="0" w:line="240" w:lineRule="auto"/>
              <w:jc w:val="both"/>
              <w:rPr>
                <w:rFonts w:ascii="Arial" w:eastAsia="Times New Roman" w:hAnsi="Arial" w:cs="Arial"/>
                <w:sz w:val="18"/>
                <w:szCs w:val="20"/>
                <w:lang w:eastAsia="hr-HR"/>
              </w:rPr>
            </w:pPr>
            <w:r w:rsidRPr="00E138B4">
              <w:rPr>
                <w:rFonts w:ascii="Arial" w:eastAsia="Times New Roman" w:hAnsi="Arial" w:cs="Arial"/>
                <w:sz w:val="18"/>
                <w:szCs w:val="20"/>
                <w:lang w:eastAsia="hr-HR"/>
              </w:rPr>
              <w:t>Prvo, kod usmene licitacije postoji puno ozbiljniji pristup samoj kupnji nekretnine, nego pisanje ponude, potencijalni kupci ili njihovi punomoćnici jasno iskazuju interes i njihova ponuda neće ovisiti o nekoj "slučajno odabranoj brojci". Kod usmene licitacije osigurava se javnost, javno vidljiva nadmetanja i isticanje cijena. Cijena može biti više puta podizana, kod pisane ponude ne, na kraju se izlicitira najpovoljnija i najviša moguća cijena.</w:t>
            </w:r>
          </w:p>
          <w:p w14:paraId="6D05BAB6" w14:textId="77777777" w:rsidR="00E138B4" w:rsidRPr="00E138B4" w:rsidRDefault="00E138B4" w:rsidP="00E138B4">
            <w:pPr>
              <w:spacing w:after="0" w:line="240" w:lineRule="auto"/>
              <w:jc w:val="both"/>
              <w:rPr>
                <w:rFonts w:ascii="Arial" w:eastAsia="Times New Roman" w:hAnsi="Arial" w:cs="Arial"/>
                <w:sz w:val="18"/>
                <w:szCs w:val="20"/>
                <w:lang w:eastAsia="hr-HR"/>
              </w:rPr>
            </w:pPr>
            <w:r w:rsidRPr="00E138B4">
              <w:rPr>
                <w:rFonts w:ascii="Arial" w:eastAsia="Times New Roman" w:hAnsi="Arial" w:cs="Arial"/>
                <w:sz w:val="18"/>
                <w:szCs w:val="20"/>
                <w:lang w:eastAsia="hr-HR"/>
              </w:rPr>
              <w:t>Trošak usmene licitacije svakako će se opravdati time da će se postići viša cijena.</w:t>
            </w:r>
          </w:p>
          <w:p w14:paraId="0FD8C4FE" w14:textId="77777777" w:rsidR="00E138B4" w:rsidRPr="00E138B4" w:rsidRDefault="00E138B4" w:rsidP="00E138B4">
            <w:pPr>
              <w:spacing w:after="0" w:line="240" w:lineRule="auto"/>
              <w:jc w:val="both"/>
              <w:rPr>
                <w:rFonts w:ascii="Arial" w:eastAsia="Times New Roman" w:hAnsi="Arial" w:cs="Arial"/>
                <w:sz w:val="18"/>
                <w:szCs w:val="20"/>
                <w:lang w:eastAsia="hr-HR"/>
              </w:rPr>
            </w:pPr>
          </w:p>
        </w:tc>
        <w:tc>
          <w:tcPr>
            <w:tcW w:w="0" w:type="auto"/>
            <w:tcBorders>
              <w:top w:val="single" w:sz="2" w:space="0" w:color="auto"/>
              <w:left w:val="single" w:sz="4" w:space="0" w:color="auto"/>
              <w:bottom w:val="single" w:sz="18" w:space="0" w:color="auto"/>
              <w:right w:val="single" w:sz="18" w:space="0" w:color="auto"/>
            </w:tcBorders>
          </w:tcPr>
          <w:p w14:paraId="0A09F4E8" w14:textId="77777777" w:rsidR="00E138B4" w:rsidRPr="00E138B4" w:rsidRDefault="00E138B4" w:rsidP="00E138B4">
            <w:pPr>
              <w:spacing w:after="0" w:line="240" w:lineRule="auto"/>
              <w:rPr>
                <w:rFonts w:ascii="Times New Roman" w:eastAsia="Times New Roman" w:hAnsi="Times New Roman" w:cs="Times New Roman"/>
                <w:sz w:val="18"/>
                <w:szCs w:val="20"/>
                <w:lang w:eastAsia="hr-HR"/>
              </w:rPr>
            </w:pPr>
          </w:p>
          <w:p w14:paraId="3B051756" w14:textId="77777777" w:rsidR="00E138B4" w:rsidRPr="00E138B4" w:rsidRDefault="00E138B4" w:rsidP="00E138B4">
            <w:pPr>
              <w:spacing w:after="0" w:line="240" w:lineRule="auto"/>
              <w:rPr>
                <w:rFonts w:ascii="Arial" w:eastAsia="Times New Roman" w:hAnsi="Arial" w:cs="Arial"/>
                <w:b/>
                <w:sz w:val="18"/>
                <w:szCs w:val="20"/>
                <w:u w:val="single"/>
                <w:lang w:eastAsia="hr-HR"/>
              </w:rPr>
            </w:pPr>
            <w:r w:rsidRPr="00E138B4">
              <w:rPr>
                <w:rFonts w:ascii="Arial" w:eastAsia="Times New Roman" w:hAnsi="Arial" w:cs="Arial"/>
                <w:b/>
                <w:sz w:val="18"/>
                <w:szCs w:val="20"/>
                <w:u w:val="single"/>
                <w:lang w:eastAsia="hr-HR"/>
              </w:rPr>
              <w:t>Pod rednim brojem 1.</w:t>
            </w:r>
            <w:r w:rsidRPr="00E138B4">
              <w:rPr>
                <w:rFonts w:ascii="Arial" w:eastAsia="Calibri" w:hAnsi="Arial" w:cs="Arial"/>
                <w:sz w:val="18"/>
                <w:szCs w:val="20"/>
                <w:lang w:eastAsia="hr-HR"/>
              </w:rPr>
              <w:t xml:space="preserve">  </w:t>
            </w:r>
          </w:p>
          <w:p w14:paraId="4D5D1AC7" w14:textId="77777777" w:rsidR="00E138B4" w:rsidRPr="00E138B4" w:rsidRDefault="00E138B4" w:rsidP="00E138B4">
            <w:pPr>
              <w:spacing w:after="0" w:line="240" w:lineRule="auto"/>
              <w:rPr>
                <w:rFonts w:ascii="Arial" w:eastAsia="Calibri" w:hAnsi="Arial" w:cs="Arial"/>
                <w:sz w:val="18"/>
                <w:szCs w:val="20"/>
              </w:rPr>
            </w:pPr>
          </w:p>
          <w:p w14:paraId="07D92AA6" w14:textId="77777777" w:rsidR="00E138B4" w:rsidRPr="00E138B4" w:rsidRDefault="00E138B4" w:rsidP="00E138B4">
            <w:pPr>
              <w:spacing w:after="0" w:line="240" w:lineRule="auto"/>
              <w:rPr>
                <w:rFonts w:ascii="Arial" w:eastAsia="Calibri" w:hAnsi="Arial" w:cs="Arial"/>
                <w:sz w:val="18"/>
                <w:szCs w:val="20"/>
                <w:lang w:eastAsia="hr-HR"/>
              </w:rPr>
            </w:pPr>
          </w:p>
          <w:p w14:paraId="3145DA6D" w14:textId="77777777" w:rsidR="00E138B4" w:rsidRPr="00E138B4" w:rsidRDefault="00E138B4" w:rsidP="00E138B4">
            <w:pPr>
              <w:spacing w:after="0" w:line="240" w:lineRule="auto"/>
              <w:rPr>
                <w:rFonts w:ascii="Arial" w:eastAsia="Calibri" w:hAnsi="Arial" w:cs="Arial"/>
                <w:sz w:val="18"/>
                <w:szCs w:val="20"/>
                <w:lang w:eastAsia="hr-HR"/>
              </w:rPr>
            </w:pPr>
          </w:p>
          <w:p w14:paraId="31C3B421" w14:textId="6BD98FBB" w:rsidR="00E138B4" w:rsidRPr="00E138B4" w:rsidRDefault="00E138B4" w:rsidP="00E138B4">
            <w:pPr>
              <w:spacing w:after="0" w:line="240" w:lineRule="auto"/>
              <w:jc w:val="both"/>
              <w:rPr>
                <w:rFonts w:ascii="Arial" w:eastAsia="Calibri" w:hAnsi="Arial" w:cs="Arial"/>
                <w:sz w:val="18"/>
                <w:szCs w:val="20"/>
                <w:lang w:eastAsia="hr-HR"/>
              </w:rPr>
            </w:pPr>
            <w:r w:rsidRPr="00E138B4">
              <w:rPr>
                <w:rFonts w:ascii="Arial" w:eastAsia="Calibri" w:hAnsi="Arial" w:cs="Arial"/>
                <w:sz w:val="18"/>
                <w:szCs w:val="20"/>
                <w:lang w:eastAsia="hr-HR"/>
              </w:rPr>
              <w:t>Prijedlog je razmotren, ali nije prihvaćen.</w:t>
            </w:r>
          </w:p>
          <w:p w14:paraId="3BE21514" w14:textId="77777777" w:rsidR="00E138B4" w:rsidRPr="00E138B4" w:rsidRDefault="00E138B4" w:rsidP="00E138B4">
            <w:pPr>
              <w:spacing w:after="0" w:line="240" w:lineRule="auto"/>
              <w:jc w:val="both"/>
              <w:rPr>
                <w:rFonts w:ascii="Arial" w:eastAsia="Calibri" w:hAnsi="Arial" w:cs="Arial"/>
                <w:sz w:val="18"/>
                <w:szCs w:val="20"/>
                <w:lang w:eastAsia="hr-HR"/>
              </w:rPr>
            </w:pPr>
          </w:p>
          <w:p w14:paraId="6B4F77DB" w14:textId="77777777" w:rsidR="00E138B4" w:rsidRPr="00E138B4" w:rsidRDefault="00E138B4" w:rsidP="00E138B4">
            <w:pPr>
              <w:spacing w:after="0" w:line="240" w:lineRule="auto"/>
              <w:jc w:val="both"/>
              <w:rPr>
                <w:rFonts w:ascii="Arial" w:eastAsia="Calibri" w:hAnsi="Arial" w:cs="Arial"/>
                <w:sz w:val="18"/>
                <w:szCs w:val="20"/>
                <w:lang w:eastAsia="hr-HR"/>
              </w:rPr>
            </w:pPr>
            <w:r w:rsidRPr="00E138B4">
              <w:rPr>
                <w:rFonts w:ascii="Arial" w:eastAsia="Calibri" w:hAnsi="Arial" w:cs="Arial"/>
                <w:sz w:val="18"/>
                <w:szCs w:val="20"/>
                <w:lang w:eastAsia="hr-HR"/>
              </w:rPr>
              <w:t>Bitna novost u Nacrtu prijedloga Odluke o prodaji stanova u vlasništvu Grada Rijeke su upravo odredbe koje propisuju da će se stanovi izlagati prodaji putem javnog natječaja koji provodi Povjerenstvo za provođenje postupka prodaje poslovnih prostora i stanova u vlasništvu Grada Rijeke, prikupljanjem pisanih ponuda, a da se ukoliko dva ili više ponuditelja ponude isti iznos kupoprodajne cijene stana, odmah nakon javnog otvaranja ponuda pristupa usmenom nadmetanju odnosno licitaciji, umjesto da se odmah provodi licitacija kako je to bilo uređeno važećom Odlukom.</w:t>
            </w:r>
          </w:p>
          <w:p w14:paraId="62B5F35C" w14:textId="77777777" w:rsidR="00E138B4" w:rsidRPr="00E138B4" w:rsidRDefault="00E138B4" w:rsidP="00E138B4">
            <w:pPr>
              <w:spacing w:after="0" w:line="240" w:lineRule="auto"/>
              <w:jc w:val="both"/>
              <w:rPr>
                <w:rFonts w:ascii="Arial" w:eastAsia="Calibri" w:hAnsi="Arial" w:cs="Arial"/>
                <w:sz w:val="18"/>
                <w:szCs w:val="20"/>
                <w:lang w:eastAsia="hr-HR"/>
              </w:rPr>
            </w:pPr>
          </w:p>
          <w:p w14:paraId="7945F25A" w14:textId="77777777" w:rsidR="00E138B4" w:rsidRPr="00E138B4" w:rsidRDefault="00E138B4" w:rsidP="00E138B4">
            <w:pPr>
              <w:spacing w:after="0" w:line="240" w:lineRule="auto"/>
              <w:jc w:val="both"/>
              <w:rPr>
                <w:rFonts w:ascii="Arial" w:eastAsia="Calibri" w:hAnsi="Arial" w:cs="Arial"/>
                <w:sz w:val="18"/>
                <w:szCs w:val="20"/>
                <w:lang w:eastAsia="hr-HR"/>
              </w:rPr>
            </w:pPr>
            <w:r w:rsidRPr="00E138B4">
              <w:rPr>
                <w:rFonts w:ascii="Arial" w:eastAsia="Calibri" w:hAnsi="Arial" w:cs="Arial"/>
                <w:sz w:val="18"/>
                <w:szCs w:val="20"/>
                <w:lang w:eastAsia="hr-HR"/>
              </w:rPr>
              <w:t xml:space="preserve">Sukladno st. 1. čl. 391. Zakona o vlasništvu i drugim stvarnim pravima (NN 91/96, 68/98, 137/99, 22/00, 73/00, 129/00, 114/01, 79/06, 141/06, 146/08, 38/09, 153/09, 143/12, 152/14, 81/15, 94/17) nekretninu u vlasništvu jedinica lokalne samouprave i jedinica područne (regionalne) samouprave tijela nadležna za njihovo raspolaganje mogu otuđiti ili njome na drugi način raspolagati samo na osnovi javnog natječaja i uz naknadu utvrđenu po tržišnoj cijeni, ako zakonom nije drukčije određeno. U skladu s navedenim, prijedlogom Odluke je propisano da se početna prodajna cijena svakog pojedinog stana utvrđuje procjembenim elaboratom </w:t>
            </w:r>
            <w:r w:rsidRPr="00E138B4">
              <w:rPr>
                <w:rFonts w:ascii="Arial" w:eastAsia="Calibri" w:hAnsi="Arial" w:cs="Arial"/>
                <w:sz w:val="18"/>
                <w:szCs w:val="20"/>
                <w:lang w:eastAsia="hr-HR"/>
              </w:rPr>
              <w:lastRenderedPageBreak/>
              <w:t>izrađenim od strane stalnog sudskog vještaka za procjenu nekretnina ili stalnog sudskog procjenitelja sukladno posebnom propisu kojim se uređuje procjena vrijednosti nekretnina, a u ponudama se mogu nuditi iznosi koji su jednaki početnoj prodajnoj cijene ili veći. Stoga, ponude ne predstavljaju „slučajno odabrane brojke“ već najviše iznose koji su ponuditelji uistinu spremni platiti za pojedini stan. Također, u slučaju da dva ili više ponuditelja ponude isti iznos kupoprodajne cijene provest će se javno nadmetanje, odnosno licitacija.</w:t>
            </w:r>
          </w:p>
          <w:p w14:paraId="0B6F500C" w14:textId="77777777" w:rsidR="00E138B4" w:rsidRPr="00E138B4" w:rsidRDefault="00E138B4" w:rsidP="00E138B4">
            <w:pPr>
              <w:spacing w:after="0" w:line="240" w:lineRule="auto"/>
              <w:jc w:val="both"/>
              <w:rPr>
                <w:rFonts w:ascii="Arial" w:eastAsia="Calibri" w:hAnsi="Arial" w:cs="Arial"/>
                <w:sz w:val="18"/>
                <w:szCs w:val="20"/>
                <w:lang w:eastAsia="hr-HR"/>
              </w:rPr>
            </w:pPr>
          </w:p>
          <w:p w14:paraId="485E9ED2" w14:textId="77777777" w:rsidR="00E138B4" w:rsidRPr="00E138B4" w:rsidRDefault="00E138B4" w:rsidP="00E138B4">
            <w:pPr>
              <w:spacing w:after="0" w:line="240" w:lineRule="auto"/>
              <w:jc w:val="both"/>
              <w:rPr>
                <w:rFonts w:ascii="Arial" w:eastAsia="Calibri" w:hAnsi="Arial" w:cs="Arial"/>
                <w:sz w:val="18"/>
                <w:szCs w:val="20"/>
                <w:lang w:eastAsia="hr-HR"/>
              </w:rPr>
            </w:pPr>
            <w:r w:rsidRPr="00E138B4">
              <w:rPr>
                <w:rFonts w:ascii="Arial" w:eastAsia="Calibri" w:hAnsi="Arial" w:cs="Arial"/>
                <w:sz w:val="18"/>
                <w:szCs w:val="20"/>
                <w:lang w:eastAsia="hr-HR"/>
              </w:rPr>
              <w:t>Namjera provođenja javnog natječaja prikupljanjem pisanih ponuda proizašla je iz dosadašnjeg iskustva stečenog kroz postupak prodaje poslovnih prostora u vlasništvu Grada Rijeke, a to je da se kroz zatvorene pisane ponude može postići viša kupoprodajna cijena nekretnine budući da ponuditelji već u ponudi moraju navesti najveći iznos kupoprodajne cijene koji su spremni ponuditi. Osim prethodno navedenog, dodatni razlog za uređenje postupka prodaje stanova na prethodno obrazloženi način je i taj da se ujednači postupak provođenja javnog natječaja za prodaju stanova s postupkom prodaje poslovnih prostora u vlasništvu Grada Rijeke, a koje javne natječaje provodi isto povjerenstvo.</w:t>
            </w:r>
          </w:p>
          <w:p w14:paraId="70FFBC8C" w14:textId="77777777" w:rsidR="00E138B4" w:rsidRPr="00E138B4" w:rsidRDefault="00E138B4" w:rsidP="00E138B4">
            <w:pPr>
              <w:spacing w:after="0" w:line="240" w:lineRule="auto"/>
              <w:jc w:val="both"/>
              <w:rPr>
                <w:rFonts w:ascii="Arial" w:eastAsia="Calibri" w:hAnsi="Arial" w:cs="Arial"/>
                <w:sz w:val="18"/>
                <w:szCs w:val="20"/>
                <w:lang w:eastAsia="hr-HR"/>
              </w:rPr>
            </w:pPr>
          </w:p>
          <w:p w14:paraId="1DF13408" w14:textId="77777777" w:rsidR="00E138B4" w:rsidRPr="00E138B4" w:rsidRDefault="00E138B4" w:rsidP="00E138B4">
            <w:pPr>
              <w:spacing w:after="0" w:line="240" w:lineRule="auto"/>
              <w:jc w:val="both"/>
              <w:rPr>
                <w:rFonts w:ascii="Arial" w:eastAsia="Calibri" w:hAnsi="Arial" w:cs="Arial"/>
                <w:sz w:val="18"/>
                <w:szCs w:val="20"/>
                <w:lang w:eastAsia="hr-HR"/>
              </w:rPr>
            </w:pPr>
            <w:r w:rsidRPr="00E138B4">
              <w:rPr>
                <w:rFonts w:ascii="Arial" w:eastAsia="Calibri" w:hAnsi="Arial" w:cs="Arial"/>
                <w:sz w:val="18"/>
                <w:szCs w:val="20"/>
                <w:lang w:eastAsia="hr-HR"/>
              </w:rPr>
              <w:t>Postupak otvaranja ponuda je javan. Na javnom otvaranju ponuda mogu biti nazočni ponuditelji ili njihovi punomoćnici te druge zainteresirane osobe. O pravilnosti provođenja postupka brine Povjerenstvo za provođenje postupka prodaje poslovnih prostora i stanova u vlasništvu Grada koje otvara i razmatra ponude, utvrđuje da li su ispunjeni svi uvjeti iz natječaja, sastavlja zapisnik o otvaranju ponuda, zapisnički utvrđuje najpovoljnijeg ponuditelja i predlaže nadležnom tijelu donošenje odluke o kupoprodaji i sklapanju ugovora o kupoprodaji stana. Naposljetku, ističe se da troškova zbog promjene načina provođenja postupka prodaje i dodatnih troškova licitacije nema budući da Grad ima osigurane uvjete, prostorije i službenike koji provode navedeni postupak javnog natječaja.</w:t>
            </w:r>
          </w:p>
        </w:tc>
      </w:tr>
    </w:tbl>
    <w:p w14:paraId="50EA0A00" w14:textId="7F1BDC15" w:rsidR="00036ABB" w:rsidRDefault="00E138B4" w:rsidP="00E138B4">
      <w:pPr>
        <w:spacing w:after="0" w:line="240" w:lineRule="auto"/>
        <w:ind w:firstLine="567"/>
        <w:jc w:val="both"/>
        <w:rPr>
          <w:rFonts w:ascii="Arial" w:eastAsia="Times New Roman" w:hAnsi="Arial" w:cs="Arial"/>
          <w:lang w:eastAsia="hr-HR"/>
        </w:rPr>
      </w:pPr>
      <w:r w:rsidRPr="00E138B4">
        <w:rPr>
          <w:rFonts w:ascii="Arial" w:eastAsia="Times New Roman" w:hAnsi="Arial" w:cs="Arial"/>
          <w:szCs w:val="20"/>
          <w:lang w:eastAsia="hr-HR"/>
        </w:rPr>
        <w:t>Napomena: U vremenu trajanja savjetovanja pravovremeno je pristigla 1 primjedba/prijedlog javnosti na Nacrt prijedloga Odluke prodaji stanova u vlasništvu Grada Rijeke.</w:t>
      </w:r>
    </w:p>
    <w:sectPr w:rsidR="00036ABB" w:rsidSect="00E138B4">
      <w:pgSz w:w="12240" w:h="15840"/>
      <w:pgMar w:top="1134" w:right="1134"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7A2E" w14:textId="77777777" w:rsidR="00907D02" w:rsidRDefault="00907D02" w:rsidP="005558B8">
      <w:pPr>
        <w:spacing w:after="0" w:line="240" w:lineRule="auto"/>
      </w:pPr>
      <w:r>
        <w:separator/>
      </w:r>
    </w:p>
  </w:endnote>
  <w:endnote w:type="continuationSeparator" w:id="0">
    <w:p w14:paraId="39A35C22" w14:textId="77777777" w:rsidR="00907D02" w:rsidRDefault="00907D02" w:rsidP="0055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B5ED7" w14:textId="77777777" w:rsidR="00907D02" w:rsidRDefault="00907D02" w:rsidP="005558B8">
      <w:pPr>
        <w:spacing w:after="0" w:line="240" w:lineRule="auto"/>
      </w:pPr>
      <w:r>
        <w:separator/>
      </w:r>
    </w:p>
  </w:footnote>
  <w:footnote w:type="continuationSeparator" w:id="0">
    <w:p w14:paraId="16A56FC6" w14:textId="77777777" w:rsidR="00907D02" w:rsidRDefault="00907D02" w:rsidP="00555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24165"/>
    <w:multiLevelType w:val="hybridMultilevel"/>
    <w:tmpl w:val="0442AF20"/>
    <w:lvl w:ilvl="0" w:tplc="C9CE62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2D"/>
    <w:rsid w:val="000072B9"/>
    <w:rsid w:val="0001233E"/>
    <w:rsid w:val="000167E8"/>
    <w:rsid w:val="00036ABB"/>
    <w:rsid w:val="0003707C"/>
    <w:rsid w:val="00051692"/>
    <w:rsid w:val="000575BE"/>
    <w:rsid w:val="00114C33"/>
    <w:rsid w:val="00154C84"/>
    <w:rsid w:val="001605CC"/>
    <w:rsid w:val="00180209"/>
    <w:rsid w:val="00196194"/>
    <w:rsid w:val="001C66F9"/>
    <w:rsid w:val="001D79D2"/>
    <w:rsid w:val="001F573D"/>
    <w:rsid w:val="002659BA"/>
    <w:rsid w:val="00297BDB"/>
    <w:rsid w:val="002C3D0F"/>
    <w:rsid w:val="002D326C"/>
    <w:rsid w:val="002E7ACD"/>
    <w:rsid w:val="00322909"/>
    <w:rsid w:val="0035033E"/>
    <w:rsid w:val="00354BBB"/>
    <w:rsid w:val="003A711D"/>
    <w:rsid w:val="003C1285"/>
    <w:rsid w:val="003C66A8"/>
    <w:rsid w:val="00442F87"/>
    <w:rsid w:val="00443946"/>
    <w:rsid w:val="00471654"/>
    <w:rsid w:val="00496B74"/>
    <w:rsid w:val="004D2661"/>
    <w:rsid w:val="00524D27"/>
    <w:rsid w:val="0055099D"/>
    <w:rsid w:val="005558B8"/>
    <w:rsid w:val="00563E96"/>
    <w:rsid w:val="00566BC8"/>
    <w:rsid w:val="00586DA4"/>
    <w:rsid w:val="005B52E3"/>
    <w:rsid w:val="005D3039"/>
    <w:rsid w:val="005D6F08"/>
    <w:rsid w:val="005F1A93"/>
    <w:rsid w:val="00692F48"/>
    <w:rsid w:val="0069352E"/>
    <w:rsid w:val="00693C91"/>
    <w:rsid w:val="006B3614"/>
    <w:rsid w:val="006B5DD9"/>
    <w:rsid w:val="006C46AC"/>
    <w:rsid w:val="00750636"/>
    <w:rsid w:val="007B7BE1"/>
    <w:rsid w:val="00821617"/>
    <w:rsid w:val="00844F65"/>
    <w:rsid w:val="00894C8D"/>
    <w:rsid w:val="008A2E44"/>
    <w:rsid w:val="00907D02"/>
    <w:rsid w:val="009144CB"/>
    <w:rsid w:val="00941291"/>
    <w:rsid w:val="00945F42"/>
    <w:rsid w:val="009A3797"/>
    <w:rsid w:val="009B796F"/>
    <w:rsid w:val="009F5729"/>
    <w:rsid w:val="00A2635C"/>
    <w:rsid w:val="00A27AE2"/>
    <w:rsid w:val="00A54C98"/>
    <w:rsid w:val="00A648F2"/>
    <w:rsid w:val="00A8269D"/>
    <w:rsid w:val="00AC324E"/>
    <w:rsid w:val="00AD0FAD"/>
    <w:rsid w:val="00AD21DA"/>
    <w:rsid w:val="00AE1533"/>
    <w:rsid w:val="00B07335"/>
    <w:rsid w:val="00B13F28"/>
    <w:rsid w:val="00B311E2"/>
    <w:rsid w:val="00B54C00"/>
    <w:rsid w:val="00B55E77"/>
    <w:rsid w:val="00B560FD"/>
    <w:rsid w:val="00B729B8"/>
    <w:rsid w:val="00B8754E"/>
    <w:rsid w:val="00B95FE5"/>
    <w:rsid w:val="00BA338C"/>
    <w:rsid w:val="00BB0BCD"/>
    <w:rsid w:val="00BB25D8"/>
    <w:rsid w:val="00BC73AF"/>
    <w:rsid w:val="00BD1841"/>
    <w:rsid w:val="00C1788B"/>
    <w:rsid w:val="00C25EBF"/>
    <w:rsid w:val="00C70151"/>
    <w:rsid w:val="00C856DA"/>
    <w:rsid w:val="00C90657"/>
    <w:rsid w:val="00D1128B"/>
    <w:rsid w:val="00D32AAF"/>
    <w:rsid w:val="00D619E6"/>
    <w:rsid w:val="00D61C33"/>
    <w:rsid w:val="00D8734F"/>
    <w:rsid w:val="00DD0477"/>
    <w:rsid w:val="00E138B4"/>
    <w:rsid w:val="00E2073C"/>
    <w:rsid w:val="00E55910"/>
    <w:rsid w:val="00E56B2D"/>
    <w:rsid w:val="00E866C3"/>
    <w:rsid w:val="00EA35E4"/>
    <w:rsid w:val="00EA5CD7"/>
    <w:rsid w:val="00F03642"/>
    <w:rsid w:val="00F20BA7"/>
    <w:rsid w:val="00F31032"/>
    <w:rsid w:val="00F32916"/>
    <w:rsid w:val="00F94F25"/>
    <w:rsid w:val="00FA4352"/>
    <w:rsid w:val="00FF4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C490"/>
  <w15:chartTrackingRefBased/>
  <w15:docId w15:val="{E0B209ED-9668-497E-AF53-1314E673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35"/>
    <w:pPr>
      <w:ind w:left="720"/>
      <w:contextualSpacing/>
    </w:pPr>
  </w:style>
  <w:style w:type="paragraph" w:styleId="Header">
    <w:name w:val="header"/>
    <w:basedOn w:val="Normal"/>
    <w:link w:val="HeaderChar"/>
    <w:unhideWhenUsed/>
    <w:rsid w:val="00AD21DA"/>
    <w:pPr>
      <w:tabs>
        <w:tab w:val="center" w:pos="4536"/>
        <w:tab w:val="right" w:pos="9072"/>
      </w:tabs>
      <w:spacing w:after="0" w:line="240" w:lineRule="auto"/>
    </w:pPr>
  </w:style>
  <w:style w:type="character" w:customStyle="1" w:styleId="HeaderChar">
    <w:name w:val="Header Char"/>
    <w:basedOn w:val="DefaultParagraphFont"/>
    <w:link w:val="Header"/>
    <w:rsid w:val="00AD21DA"/>
  </w:style>
  <w:style w:type="paragraph" w:styleId="BalloonText">
    <w:name w:val="Balloon Text"/>
    <w:basedOn w:val="Normal"/>
    <w:link w:val="BalloonTextChar"/>
    <w:uiPriority w:val="99"/>
    <w:semiHidden/>
    <w:unhideWhenUsed/>
    <w:rsid w:val="00B56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FD"/>
    <w:rPr>
      <w:rFonts w:ascii="Segoe UI" w:hAnsi="Segoe UI" w:cs="Segoe UI"/>
      <w:sz w:val="18"/>
      <w:szCs w:val="18"/>
    </w:rPr>
  </w:style>
  <w:style w:type="paragraph" w:styleId="NormalWeb">
    <w:name w:val="Normal (Web)"/>
    <w:basedOn w:val="Normal"/>
    <w:uiPriority w:val="99"/>
    <w:unhideWhenUsed/>
    <w:qFormat/>
    <w:rsid w:val="00C856DA"/>
    <w:pPr>
      <w:spacing w:beforeAutospacing="1" w:afterAutospacing="1" w:line="360" w:lineRule="auto"/>
    </w:pPr>
    <w:rPr>
      <w:rFonts w:ascii="Verdana" w:eastAsia="Times New Roman" w:hAnsi="Verdana" w:cs="Times New Roman"/>
      <w:color w:val="333333"/>
      <w:sz w:val="18"/>
      <w:szCs w:val="18"/>
      <w:lang w:eastAsia="hr-HR"/>
    </w:rPr>
  </w:style>
  <w:style w:type="character" w:styleId="Hyperlink">
    <w:name w:val="Hyperlink"/>
    <w:unhideWhenUsed/>
    <w:rsid w:val="00BD1841"/>
    <w:rPr>
      <w:color w:val="0000FF"/>
      <w:u w:val="single"/>
    </w:rPr>
  </w:style>
  <w:style w:type="paragraph" w:styleId="Footer">
    <w:name w:val="footer"/>
    <w:basedOn w:val="Normal"/>
    <w:link w:val="FooterChar"/>
    <w:uiPriority w:val="99"/>
    <w:unhideWhenUsed/>
    <w:rsid w:val="005558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6392">
      <w:bodyDiv w:val="1"/>
      <w:marLeft w:val="0"/>
      <w:marRight w:val="0"/>
      <w:marTop w:val="0"/>
      <w:marBottom w:val="0"/>
      <w:divBdr>
        <w:top w:val="none" w:sz="0" w:space="0" w:color="auto"/>
        <w:left w:val="none" w:sz="0" w:space="0" w:color="auto"/>
        <w:bottom w:val="none" w:sz="0" w:space="0" w:color="auto"/>
        <w:right w:val="none" w:sz="0" w:space="0" w:color="auto"/>
      </w:divBdr>
    </w:div>
    <w:div w:id="134221994">
      <w:bodyDiv w:val="1"/>
      <w:marLeft w:val="0"/>
      <w:marRight w:val="0"/>
      <w:marTop w:val="0"/>
      <w:marBottom w:val="0"/>
      <w:divBdr>
        <w:top w:val="none" w:sz="0" w:space="0" w:color="auto"/>
        <w:left w:val="none" w:sz="0" w:space="0" w:color="auto"/>
        <w:bottom w:val="none" w:sz="0" w:space="0" w:color="auto"/>
        <w:right w:val="none" w:sz="0" w:space="0" w:color="auto"/>
      </w:divBdr>
    </w:div>
    <w:div w:id="330182358">
      <w:bodyDiv w:val="1"/>
      <w:marLeft w:val="0"/>
      <w:marRight w:val="0"/>
      <w:marTop w:val="0"/>
      <w:marBottom w:val="0"/>
      <w:divBdr>
        <w:top w:val="none" w:sz="0" w:space="0" w:color="auto"/>
        <w:left w:val="none" w:sz="0" w:space="0" w:color="auto"/>
        <w:bottom w:val="none" w:sz="0" w:space="0" w:color="auto"/>
        <w:right w:val="none" w:sz="0" w:space="0" w:color="auto"/>
      </w:divBdr>
    </w:div>
    <w:div w:id="632296728">
      <w:bodyDiv w:val="1"/>
      <w:marLeft w:val="0"/>
      <w:marRight w:val="0"/>
      <w:marTop w:val="0"/>
      <w:marBottom w:val="0"/>
      <w:divBdr>
        <w:top w:val="none" w:sz="0" w:space="0" w:color="auto"/>
        <w:left w:val="none" w:sz="0" w:space="0" w:color="auto"/>
        <w:bottom w:val="none" w:sz="0" w:space="0" w:color="auto"/>
        <w:right w:val="none" w:sz="0" w:space="0" w:color="auto"/>
      </w:divBdr>
    </w:div>
    <w:div w:id="712853984">
      <w:bodyDiv w:val="1"/>
      <w:marLeft w:val="0"/>
      <w:marRight w:val="0"/>
      <w:marTop w:val="0"/>
      <w:marBottom w:val="0"/>
      <w:divBdr>
        <w:top w:val="none" w:sz="0" w:space="0" w:color="auto"/>
        <w:left w:val="none" w:sz="0" w:space="0" w:color="auto"/>
        <w:bottom w:val="none" w:sz="0" w:space="0" w:color="auto"/>
        <w:right w:val="none" w:sz="0" w:space="0" w:color="auto"/>
      </w:divBdr>
    </w:div>
    <w:div w:id="733427336">
      <w:bodyDiv w:val="1"/>
      <w:marLeft w:val="0"/>
      <w:marRight w:val="0"/>
      <w:marTop w:val="0"/>
      <w:marBottom w:val="0"/>
      <w:divBdr>
        <w:top w:val="none" w:sz="0" w:space="0" w:color="auto"/>
        <w:left w:val="none" w:sz="0" w:space="0" w:color="auto"/>
        <w:bottom w:val="none" w:sz="0" w:space="0" w:color="auto"/>
        <w:right w:val="none" w:sz="0" w:space="0" w:color="auto"/>
      </w:divBdr>
    </w:div>
    <w:div w:id="1122991592">
      <w:bodyDiv w:val="1"/>
      <w:marLeft w:val="0"/>
      <w:marRight w:val="0"/>
      <w:marTop w:val="0"/>
      <w:marBottom w:val="0"/>
      <w:divBdr>
        <w:top w:val="none" w:sz="0" w:space="0" w:color="auto"/>
        <w:left w:val="none" w:sz="0" w:space="0" w:color="auto"/>
        <w:bottom w:val="none" w:sz="0" w:space="0" w:color="auto"/>
        <w:right w:val="none" w:sz="0" w:space="0" w:color="auto"/>
      </w:divBdr>
    </w:div>
    <w:div w:id="1186749191">
      <w:bodyDiv w:val="1"/>
      <w:marLeft w:val="0"/>
      <w:marRight w:val="0"/>
      <w:marTop w:val="0"/>
      <w:marBottom w:val="0"/>
      <w:divBdr>
        <w:top w:val="none" w:sz="0" w:space="0" w:color="auto"/>
        <w:left w:val="none" w:sz="0" w:space="0" w:color="auto"/>
        <w:bottom w:val="none" w:sz="0" w:space="0" w:color="auto"/>
        <w:right w:val="none" w:sz="0" w:space="0" w:color="auto"/>
      </w:divBdr>
    </w:div>
    <w:div w:id="1442648502">
      <w:bodyDiv w:val="1"/>
      <w:marLeft w:val="0"/>
      <w:marRight w:val="0"/>
      <w:marTop w:val="0"/>
      <w:marBottom w:val="0"/>
      <w:divBdr>
        <w:top w:val="none" w:sz="0" w:space="0" w:color="auto"/>
        <w:left w:val="none" w:sz="0" w:space="0" w:color="auto"/>
        <w:bottom w:val="none" w:sz="0" w:space="0" w:color="auto"/>
        <w:right w:val="none" w:sz="0" w:space="0" w:color="auto"/>
      </w:divBdr>
    </w:div>
    <w:div w:id="20146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Koludrovic</dc:creator>
  <cp:keywords/>
  <dc:description/>
  <cp:lastModifiedBy>Labudović Maržić Vesna</cp:lastModifiedBy>
  <cp:revision>4</cp:revision>
  <cp:lastPrinted>2024-09-05T12:46:00Z</cp:lastPrinted>
  <dcterms:created xsi:type="dcterms:W3CDTF">2024-09-05T12:45:00Z</dcterms:created>
  <dcterms:modified xsi:type="dcterms:W3CDTF">2024-09-05T12:49:00Z</dcterms:modified>
</cp:coreProperties>
</file>