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B6" w:rsidRPr="004E5F4C" w:rsidRDefault="007545B6" w:rsidP="007545B6">
      <w:pPr>
        <w:spacing w:after="0" w:line="240" w:lineRule="auto"/>
        <w:jc w:val="center"/>
        <w:rPr>
          <w:rFonts w:ascii="Arial" w:hAnsi="Arial" w:cs="Arial"/>
          <w:b/>
          <w:lang w:eastAsia="hr-HR"/>
        </w:rPr>
      </w:pPr>
      <w:bookmarkStart w:id="0" w:name="_Hlk130575701"/>
      <w:r>
        <w:rPr>
          <w:rFonts w:ascii="Arial" w:hAnsi="Arial" w:cs="Arial"/>
          <w:b/>
          <w:lang w:eastAsia="hr-HR"/>
        </w:rPr>
        <w:t>Ob</w:t>
      </w:r>
      <w:r w:rsidRPr="004E5F4C">
        <w:rPr>
          <w:rFonts w:ascii="Arial" w:hAnsi="Arial" w:cs="Arial"/>
          <w:b/>
          <w:lang w:eastAsia="hr-HR"/>
        </w:rPr>
        <w:t>razloženje:</w:t>
      </w:r>
    </w:p>
    <w:p w:rsidR="007545B6" w:rsidRDefault="007545B6" w:rsidP="007545B6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7545B6" w:rsidRPr="004E5F4C" w:rsidRDefault="007545B6" w:rsidP="007545B6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7545B6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Pr="004E5F4C" w:rsidRDefault="007545B6" w:rsidP="007545B6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4E5F4C">
        <w:rPr>
          <w:rFonts w:ascii="Arial" w:hAnsi="Arial" w:cs="Arial"/>
          <w:b/>
          <w:lang w:eastAsia="hr-HR"/>
        </w:rPr>
        <w:t>I. Pravna osnova</w:t>
      </w:r>
    </w:p>
    <w:p w:rsidR="007545B6" w:rsidRPr="00A80D92" w:rsidRDefault="007545B6" w:rsidP="007545B6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7545B6" w:rsidRPr="00341E55" w:rsidRDefault="007545B6" w:rsidP="00754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41E55">
        <w:rPr>
          <w:rFonts w:ascii="Arial" w:hAnsi="Arial" w:cs="Arial"/>
        </w:rPr>
        <w:t>Članak 11. stavak 5. Zakona o zdravstvenoj zaštiti (“Narodne novine“ broj 100/18, 125/19, 147/20, 119/22, 156/22, 33/23 i 36/24 ) propisuje kako jedinica područne (regionalne) samouprave odnosno Grad Zagreb i jedinica lokalne samouprave može osigurati sredstva za zdravstvenu zaštitu stanovnika na svom području iznad standarda utvrđenih obveznim zdravstvenim osiguranjem.</w:t>
      </w:r>
    </w:p>
    <w:p w:rsidR="007545B6" w:rsidRPr="00D1582F" w:rsidRDefault="007545B6" w:rsidP="00754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Sukladno odredbi članka 46. Statuta Grada Rijeke </w:t>
      </w:r>
      <w:r w:rsidRPr="00953C57">
        <w:rPr>
          <w:rFonts w:ascii="Arial" w:hAnsi="Arial" w:cs="Arial"/>
          <w:shd w:val="clear" w:color="auto" w:fill="FFFFFF"/>
        </w:rPr>
        <w:t>(″Službene novine Primorsko-goranske županije″ broj 24/09, 11/10 i 5/13 i ″Službene novine</w:t>
      </w:r>
      <w:r w:rsidRPr="00953C57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953C57">
        <w:rPr>
          <w:rFonts w:ascii="Arial" w:hAnsi="Arial" w:cs="Arial"/>
          <w:shd w:val="clear" w:color="auto" w:fill="FFFFFF"/>
        </w:rPr>
        <w:t>Grada Rijeke″ broj 7/14, 12/17, 9/18 i 11/18-pročišćeni tekst, 2/20 i 3/21)</w:t>
      </w:r>
      <w:r>
        <w:rPr>
          <w:rFonts w:ascii="Arial" w:hAnsi="Arial" w:cs="Arial"/>
          <w:shd w:val="clear" w:color="auto" w:fill="FFFFFF"/>
        </w:rPr>
        <w:t>, Gradsko vijeće Grada Rijeke</w:t>
      </w:r>
      <w:r>
        <w:rPr>
          <w:rFonts w:ascii="Arial" w:hAnsi="Arial" w:cs="Arial"/>
        </w:rPr>
        <w:t xml:space="preserve"> donosi odluke i druge opće akte kojima se uređuju pitanja iz samoupravnog djelokruga Grada Rijeke.</w:t>
      </w:r>
    </w:p>
    <w:p w:rsidR="007545B6" w:rsidRDefault="007545B6" w:rsidP="007545B6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hr-HR"/>
        </w:rPr>
      </w:pPr>
    </w:p>
    <w:p w:rsidR="007545B6" w:rsidRPr="00237078" w:rsidRDefault="007545B6" w:rsidP="007545B6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hr-HR"/>
        </w:rPr>
      </w:pPr>
    </w:p>
    <w:p w:rsidR="007545B6" w:rsidRDefault="007545B6" w:rsidP="007545B6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bookmarkEnd w:id="0"/>
    <w:p w:rsidR="007545B6" w:rsidRDefault="007545B6" w:rsidP="007545B6">
      <w:pPr>
        <w:spacing w:after="0" w:line="240" w:lineRule="auto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II. Obrazloženje</w:t>
      </w:r>
    </w:p>
    <w:p w:rsidR="007545B6" w:rsidRDefault="007545B6" w:rsidP="007545B6">
      <w:pPr>
        <w:spacing w:after="0" w:line="240" w:lineRule="auto"/>
        <w:jc w:val="center"/>
        <w:rPr>
          <w:rFonts w:ascii="Arial" w:hAnsi="Arial" w:cs="Arial"/>
          <w:b/>
          <w:lang w:eastAsia="hr-HR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00137C">
        <w:rPr>
          <w:rFonts w:ascii="Arial" w:hAnsi="Arial" w:cs="Arial"/>
          <w:sz w:val="22"/>
          <w:szCs w:val="22"/>
        </w:rPr>
        <w:t>Demografska situacija u Republici Hrvatskoj obilježena je depopulacijom i starenjem stanovništva, a što potvrđuju podaci Državnog zavoda za statistiku (</w:t>
      </w:r>
      <w:hyperlink r:id="rId4" w:history="1">
        <w:r w:rsidRPr="00204EA3">
          <w:rPr>
            <w:rStyle w:val="Hyperlink"/>
            <w:rFonts w:ascii="Arial" w:hAnsi="Arial" w:cs="Arial"/>
            <w:sz w:val="22"/>
            <w:szCs w:val="22"/>
          </w:rPr>
          <w:t>www.dzs.hr</w:t>
        </w:r>
      </w:hyperlink>
      <w:r w:rsidRPr="000013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0137C">
        <w:rPr>
          <w:rFonts w:ascii="Arial" w:hAnsi="Arial" w:cs="Arial"/>
          <w:sz w:val="22"/>
          <w:szCs w:val="22"/>
        </w:rPr>
        <w:t xml:space="preserve"> Obzirom na negativne demografske trendove (Slika 1.) Hrvatski sabor je 2021. godine donio Nacionalnu razvojnu strategiju Republike Hrvatske do 2030. godine </w:t>
      </w:r>
      <w:r>
        <w:rPr>
          <w:rFonts w:ascii="Arial" w:hAnsi="Arial" w:cs="Arial"/>
          <w:sz w:val="22"/>
          <w:szCs w:val="22"/>
        </w:rPr>
        <w:t>(</w:t>
      </w:r>
      <w:r w:rsidRPr="00341E55">
        <w:rPr>
          <w:rFonts w:ascii="Arial" w:hAnsi="Arial" w:cs="Arial"/>
        </w:rPr>
        <w:t>“</w:t>
      </w:r>
      <w:r w:rsidRPr="0000137C">
        <w:rPr>
          <w:rFonts w:ascii="Arial" w:hAnsi="Arial" w:cs="Arial"/>
          <w:sz w:val="22"/>
          <w:szCs w:val="22"/>
        </w:rPr>
        <w:t>Narodne novine“ broj 13/01) u okviru koje je u Razvojnom smjeru 2. Jačanje otpornosti na krize</w:t>
      </w:r>
      <w:r>
        <w:rPr>
          <w:rFonts w:ascii="Arial" w:hAnsi="Arial" w:cs="Arial"/>
          <w:sz w:val="22"/>
          <w:szCs w:val="22"/>
        </w:rPr>
        <w:t>,</w:t>
      </w:r>
      <w:r w:rsidRPr="0000137C">
        <w:rPr>
          <w:rFonts w:ascii="Arial" w:hAnsi="Arial" w:cs="Arial"/>
          <w:sz w:val="22"/>
          <w:szCs w:val="22"/>
        </w:rPr>
        <w:t xml:space="preserve"> između ostalog</w:t>
      </w:r>
      <w:r>
        <w:rPr>
          <w:rFonts w:ascii="Arial" w:hAnsi="Arial" w:cs="Arial"/>
          <w:sz w:val="22"/>
          <w:szCs w:val="22"/>
        </w:rPr>
        <w:t>,</w:t>
      </w:r>
      <w:r w:rsidRPr="0000137C">
        <w:rPr>
          <w:rFonts w:ascii="Arial" w:hAnsi="Arial" w:cs="Arial"/>
          <w:sz w:val="22"/>
          <w:szCs w:val="22"/>
        </w:rPr>
        <w:t xml:space="preserve"> predvidio i demografsku obnovu Republike Hrvatske</w:t>
      </w:r>
      <w:r>
        <w:rPr>
          <w:rFonts w:ascii="Arial" w:hAnsi="Arial" w:cs="Arial"/>
          <w:sz w:val="22"/>
          <w:szCs w:val="22"/>
        </w:rPr>
        <w:t>.</w:t>
      </w:r>
      <w:r w:rsidRPr="00001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0137C">
        <w:rPr>
          <w:rFonts w:ascii="Arial" w:hAnsi="Arial" w:cs="Arial"/>
          <w:sz w:val="22"/>
          <w:szCs w:val="22"/>
        </w:rPr>
        <w:t xml:space="preserve"> ožujku 2024. godine Hrvatski sabor je donio Strategiju demografske revitalizacije Republike Hrvatske do 2033. godine (</w:t>
      </w:r>
      <w:r w:rsidRPr="00341E55">
        <w:rPr>
          <w:rFonts w:ascii="Arial" w:hAnsi="Arial" w:cs="Arial"/>
        </w:rPr>
        <w:t>“</w:t>
      </w:r>
      <w:r w:rsidRPr="0000137C">
        <w:rPr>
          <w:rFonts w:ascii="Arial" w:hAnsi="Arial" w:cs="Arial"/>
          <w:sz w:val="22"/>
          <w:szCs w:val="22"/>
        </w:rPr>
        <w:t>Narodne novine“ broj 36/24) s temeljnim ciljem rješavanja postojećih demografskih izazova Republike Hrvatske.</w:t>
      </w:r>
    </w:p>
    <w:p w:rsidR="007545B6" w:rsidRPr="0000137C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806000" w:themeColor="accent4" w:themeShade="80"/>
          <w:sz w:val="22"/>
          <w:szCs w:val="22"/>
        </w:rPr>
      </w:pPr>
    </w:p>
    <w:p w:rsidR="007545B6" w:rsidRPr="00B15D7E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806000" w:themeColor="accent4" w:themeShade="80"/>
          <w:sz w:val="22"/>
          <w:szCs w:val="22"/>
        </w:rPr>
      </w:pPr>
    </w:p>
    <w:p w:rsidR="007545B6" w:rsidRPr="00F521F5" w:rsidRDefault="007545B6" w:rsidP="007545B6">
      <w:pPr>
        <w:pStyle w:val="NormalWeb"/>
        <w:spacing w:before="0" w:beforeAutospacing="0" w:after="0" w:afterAutospacing="0"/>
        <w:ind w:firstLine="720"/>
        <w:jc w:val="right"/>
        <w:rPr>
          <w:rFonts w:ascii="Arial" w:hAnsi="Arial" w:cs="Arial"/>
          <w:sz w:val="18"/>
          <w:szCs w:val="18"/>
        </w:rPr>
      </w:pPr>
      <w:r w:rsidRPr="00F521F5">
        <w:rPr>
          <w:rFonts w:ascii="Arial" w:hAnsi="Arial" w:cs="Arial"/>
          <w:sz w:val="18"/>
          <w:szCs w:val="18"/>
        </w:rPr>
        <w:t>Slika 1.</w:t>
      </w:r>
    </w:p>
    <w:p w:rsidR="007545B6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hr-HR"/>
        </w:rPr>
        <w:drawing>
          <wp:inline distT="0" distB="0" distL="0" distR="0" wp14:anchorId="03349BEE" wp14:editId="144EA752">
            <wp:extent cx="5760720" cy="2002790"/>
            <wp:effectExtent l="0" t="0" r="0" b="0"/>
            <wp:docPr id="2" name="Picture 2" descr="C:\Users\tatalovic_maja\Downloads\fwqp10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lovic_maja\Downloads\fwqp10s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72" cy="20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B6" w:rsidRPr="00D52A40" w:rsidRDefault="007545B6" w:rsidP="007545B6">
      <w:pPr>
        <w:spacing w:after="0" w:line="240" w:lineRule="auto"/>
        <w:rPr>
          <w:rFonts w:ascii="Arial" w:hAnsi="Arial" w:cs="Arial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  <w:lang w:eastAsia="hr-HR"/>
        </w:rPr>
        <w:t>(Izvor:</w:t>
      </w:r>
      <w:r w:rsidRPr="00DA5446">
        <w:rPr>
          <w:rFonts w:ascii="Arial" w:hAnsi="Arial" w:cs="Arial"/>
          <w:sz w:val="18"/>
          <w:szCs w:val="18"/>
          <w:lang w:eastAsia="hr-HR"/>
        </w:rPr>
        <w:t xml:space="preserve"> </w:t>
      </w:r>
      <w:r>
        <w:rPr>
          <w:rFonts w:ascii="Arial" w:hAnsi="Arial" w:cs="Arial"/>
          <w:sz w:val="18"/>
          <w:szCs w:val="18"/>
          <w:lang w:eastAsia="hr-HR"/>
        </w:rPr>
        <w:t xml:space="preserve">Državni zavod za statistiku RH – Priopćenje, Godina: LXI, Zagreb, 23. srpnja 2024. godine, STAN-2024-1-1, ISNN 1334-0557; </w:t>
      </w:r>
      <w:hyperlink r:id="rId6" w:history="1">
        <w:r w:rsidRPr="00590513">
          <w:rPr>
            <w:rStyle w:val="Hyperlink"/>
            <w:rFonts w:ascii="Arial" w:hAnsi="Arial" w:cs="Arial"/>
            <w:sz w:val="18"/>
            <w:szCs w:val="18"/>
            <w:lang w:eastAsia="hr-HR"/>
          </w:rPr>
          <w:t>https://podaci.dzs.hr/2024/hr/76800</w:t>
        </w:r>
      </w:hyperlink>
      <w:r>
        <w:rPr>
          <w:rFonts w:ascii="Arial" w:hAnsi="Arial" w:cs="Arial"/>
          <w:sz w:val="18"/>
          <w:szCs w:val="18"/>
          <w:lang w:eastAsia="hr-HR"/>
        </w:rPr>
        <w:t xml:space="preserve">) </w:t>
      </w:r>
    </w:p>
    <w:p w:rsidR="007545B6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545B6" w:rsidRPr="008B6A20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8B6A20">
        <w:rPr>
          <w:rFonts w:ascii="Arial" w:hAnsi="Arial" w:cs="Arial"/>
          <w:sz w:val="22"/>
          <w:szCs w:val="22"/>
        </w:rPr>
        <w:t>Negativni demografski trendovi</w:t>
      </w:r>
      <w:r>
        <w:rPr>
          <w:rFonts w:ascii="Arial" w:hAnsi="Arial" w:cs="Arial"/>
          <w:sz w:val="22"/>
          <w:szCs w:val="22"/>
        </w:rPr>
        <w:t xml:space="preserve"> identificirani strateškim dokumentima Republike Hrvatske</w:t>
      </w:r>
      <w:r w:rsidRPr="008B6A20">
        <w:rPr>
          <w:rFonts w:ascii="Arial" w:hAnsi="Arial" w:cs="Arial"/>
          <w:sz w:val="22"/>
          <w:szCs w:val="22"/>
        </w:rPr>
        <w:t xml:space="preserve"> prisutni su i na području Primorsko-goranske županije i </w:t>
      </w:r>
      <w:r>
        <w:rPr>
          <w:rFonts w:ascii="Arial" w:hAnsi="Arial" w:cs="Arial"/>
          <w:sz w:val="22"/>
          <w:szCs w:val="22"/>
        </w:rPr>
        <w:t>G</w:t>
      </w:r>
      <w:r w:rsidRPr="008B6A20">
        <w:rPr>
          <w:rFonts w:ascii="Arial" w:hAnsi="Arial" w:cs="Arial"/>
          <w:sz w:val="22"/>
          <w:szCs w:val="22"/>
        </w:rPr>
        <w:t xml:space="preserve">rada Rijeke. Uspoređujući podatke o broju stanovnika na području Primorsko-goranske županije i </w:t>
      </w:r>
      <w:r>
        <w:rPr>
          <w:rFonts w:ascii="Arial" w:hAnsi="Arial" w:cs="Arial"/>
          <w:sz w:val="22"/>
          <w:szCs w:val="22"/>
        </w:rPr>
        <w:t>g</w:t>
      </w:r>
      <w:r w:rsidRPr="008B6A20">
        <w:rPr>
          <w:rFonts w:ascii="Arial" w:hAnsi="Arial" w:cs="Arial"/>
          <w:sz w:val="22"/>
          <w:szCs w:val="22"/>
        </w:rPr>
        <w:t>rada Rijeke temeljem Popisa stanovništva 2011. i Popis stanovništva 2022. godine evidentan je pad ukupnog broja stanovnika (Tabela 1.)</w:t>
      </w: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Pr="008B6A20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Pr="00C90E68" w:rsidRDefault="007545B6" w:rsidP="007545B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  <w:r w:rsidRPr="00C90E68">
        <w:rPr>
          <w:rFonts w:ascii="Arial" w:hAnsi="Arial" w:cs="Arial"/>
          <w:sz w:val="16"/>
          <w:szCs w:val="16"/>
        </w:rPr>
        <w:t>Tabela 1.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529"/>
        <w:gridCol w:w="2835"/>
        <w:gridCol w:w="2678"/>
      </w:tblGrid>
      <w:tr w:rsidR="007545B6" w:rsidTr="00E429E7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stanovnika</w:t>
            </w:r>
            <w:proofErr w:type="spellEnd"/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5B6" w:rsidTr="00E429E7"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Županija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/grad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2011.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godina</w:t>
            </w:r>
            <w:proofErr w:type="spellEnd"/>
          </w:p>
        </w:tc>
      </w:tr>
      <w:tr w:rsidR="007545B6" w:rsidTr="00E429E7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Primorsko-goranska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županija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296 195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265 419</w:t>
            </w:r>
          </w:p>
        </w:tc>
      </w:tr>
      <w:tr w:rsidR="007545B6" w:rsidTr="00E429E7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 Rijeka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128 624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107 964</w:t>
            </w:r>
          </w:p>
        </w:tc>
      </w:tr>
    </w:tbl>
    <w:p w:rsidR="007545B6" w:rsidRPr="00D52A40" w:rsidRDefault="007545B6" w:rsidP="007545B6">
      <w:pPr>
        <w:spacing w:after="0" w:line="240" w:lineRule="auto"/>
        <w:rPr>
          <w:rFonts w:ascii="Arial" w:hAnsi="Arial" w:cs="Arial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  <w:lang w:eastAsia="hr-HR"/>
        </w:rPr>
        <w:t>(Izvor:</w:t>
      </w:r>
      <w:r w:rsidRPr="00DA5446">
        <w:rPr>
          <w:rFonts w:ascii="Arial" w:hAnsi="Arial" w:cs="Arial"/>
          <w:sz w:val="18"/>
          <w:szCs w:val="18"/>
          <w:lang w:eastAsia="hr-HR"/>
        </w:rPr>
        <w:t xml:space="preserve"> </w:t>
      </w:r>
      <w:r>
        <w:rPr>
          <w:rFonts w:ascii="Arial" w:hAnsi="Arial" w:cs="Arial"/>
          <w:sz w:val="18"/>
          <w:szCs w:val="18"/>
          <w:lang w:eastAsia="hr-HR"/>
        </w:rPr>
        <w:t xml:space="preserve">Državni zavod za statistiku RH, </w:t>
      </w:r>
      <w:hyperlink r:id="rId7" w:history="1">
        <w:r w:rsidRPr="00212469">
          <w:rPr>
            <w:rStyle w:val="Hyperlink"/>
            <w:rFonts w:ascii="Arial" w:hAnsi="Arial" w:cs="Arial"/>
            <w:sz w:val="18"/>
            <w:szCs w:val="18"/>
            <w:lang w:eastAsia="hr-HR"/>
          </w:rPr>
          <w:t>https://podaci.dzs.hr</w:t>
        </w:r>
      </w:hyperlink>
      <w:r>
        <w:rPr>
          <w:rFonts w:ascii="Arial" w:hAnsi="Arial" w:cs="Arial"/>
          <w:sz w:val="18"/>
          <w:szCs w:val="18"/>
          <w:lang w:eastAsia="hr-HR"/>
        </w:rPr>
        <w:t xml:space="preserve">) </w:t>
      </w: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Daljnjim u</w:t>
      </w:r>
      <w:r w:rsidRPr="000025EF">
        <w:rPr>
          <w:rFonts w:ascii="Arial" w:hAnsi="Arial" w:cs="Arial"/>
          <w:sz w:val="22"/>
          <w:szCs w:val="22"/>
        </w:rPr>
        <w:t>vidom u statističke podatke rođenih i umrlih u Primorsko-goranskoj županiji i gradu Rijeci evidentan je negativan populacijski trend na što je u najvećoj mjeri utjecao</w:t>
      </w:r>
      <w:r>
        <w:rPr>
          <w:rFonts w:ascii="Arial" w:hAnsi="Arial" w:cs="Arial"/>
          <w:sz w:val="22"/>
          <w:szCs w:val="22"/>
        </w:rPr>
        <w:t xml:space="preserve"> pad </w:t>
      </w:r>
      <w:r w:rsidRPr="000025EF">
        <w:rPr>
          <w:rFonts w:ascii="Arial" w:hAnsi="Arial" w:cs="Arial"/>
          <w:sz w:val="22"/>
          <w:szCs w:val="22"/>
        </w:rPr>
        <w:t>prirodn</w:t>
      </w:r>
      <w:r>
        <w:rPr>
          <w:rFonts w:ascii="Arial" w:hAnsi="Arial" w:cs="Arial"/>
          <w:sz w:val="22"/>
          <w:szCs w:val="22"/>
        </w:rPr>
        <w:t xml:space="preserve">og priraštaja </w:t>
      </w:r>
      <w:r w:rsidRPr="000025EF">
        <w:rPr>
          <w:rFonts w:ascii="Arial" w:hAnsi="Arial" w:cs="Arial"/>
          <w:sz w:val="22"/>
          <w:szCs w:val="22"/>
        </w:rPr>
        <w:t>stanovništva, odnosno manji broj rođenih u odnosu na broj umrlih kao što je prikazano u Tabeli 2.</w:t>
      </w:r>
      <w:r>
        <w:rPr>
          <w:rFonts w:ascii="Arial" w:hAnsi="Arial" w:cs="Arial"/>
          <w:sz w:val="22"/>
          <w:szCs w:val="22"/>
        </w:rPr>
        <w:t>:</w:t>
      </w:r>
    </w:p>
    <w:p w:rsidR="007545B6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545B6" w:rsidRPr="001010F7" w:rsidRDefault="007545B6" w:rsidP="007545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545B6" w:rsidRDefault="007545B6" w:rsidP="007545B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C90E68">
        <w:rPr>
          <w:rFonts w:ascii="Arial" w:hAnsi="Arial" w:cs="Arial"/>
          <w:sz w:val="16"/>
          <w:szCs w:val="16"/>
        </w:rPr>
        <w:t xml:space="preserve">Tabela </w:t>
      </w:r>
      <w:r>
        <w:rPr>
          <w:rFonts w:ascii="Arial" w:hAnsi="Arial" w:cs="Arial"/>
          <w:sz w:val="16"/>
          <w:szCs w:val="16"/>
        </w:rPr>
        <w:t>2.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820"/>
        <w:gridCol w:w="1065"/>
        <w:gridCol w:w="1062"/>
        <w:gridCol w:w="1110"/>
        <w:gridCol w:w="874"/>
        <w:gridCol w:w="1192"/>
        <w:gridCol w:w="919"/>
      </w:tblGrid>
      <w:tr w:rsidR="007545B6" w:rsidTr="00E429E7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45B6" w:rsidRPr="00737CA1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CA1">
              <w:rPr>
                <w:rFonts w:ascii="Arial" w:hAnsi="Arial" w:cs="Arial"/>
                <w:b/>
                <w:sz w:val="22"/>
                <w:szCs w:val="22"/>
              </w:rPr>
              <w:t>Prirodno</w:t>
            </w:r>
            <w:proofErr w:type="spellEnd"/>
            <w:r w:rsidRPr="00737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CA1">
              <w:rPr>
                <w:rFonts w:ascii="Arial" w:hAnsi="Arial" w:cs="Arial"/>
                <w:b/>
                <w:sz w:val="22"/>
                <w:szCs w:val="22"/>
              </w:rPr>
              <w:t>kretanje</w:t>
            </w:r>
            <w:proofErr w:type="spellEnd"/>
            <w:r w:rsidRPr="00737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CA1">
              <w:rPr>
                <w:rFonts w:ascii="Arial" w:hAnsi="Arial" w:cs="Arial"/>
                <w:b/>
                <w:sz w:val="22"/>
                <w:szCs w:val="22"/>
              </w:rPr>
              <w:t>stanovništva</w:t>
            </w:r>
            <w:proofErr w:type="spellEnd"/>
            <w:r w:rsidRPr="00737CA1">
              <w:rPr>
                <w:rFonts w:ascii="Arial" w:hAnsi="Arial" w:cs="Arial"/>
                <w:b/>
                <w:sz w:val="22"/>
                <w:szCs w:val="22"/>
              </w:rPr>
              <w:t xml:space="preserve"> 2022-2023</w:t>
            </w: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5B6" w:rsidTr="00E429E7">
        <w:trPr>
          <w:trHeight w:val="382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Županija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/grad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rođenih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umrlih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(Pad)</w:t>
            </w:r>
          </w:p>
        </w:tc>
      </w:tr>
      <w:tr w:rsidR="007545B6" w:rsidTr="00E429E7">
        <w:trPr>
          <w:trHeight w:val="435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</w:tr>
      <w:tr w:rsidR="007545B6" w:rsidTr="00E429E7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Primorsko-goranska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županija</w:t>
            </w:r>
            <w:proofErr w:type="spellEnd"/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1891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4077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jc w:val="right"/>
            </w:pPr>
          </w:p>
          <w:p w:rsidR="007545B6" w:rsidRDefault="007545B6" w:rsidP="00E429E7">
            <w:pPr>
              <w:jc w:val="right"/>
            </w:pPr>
            <w:r>
              <w:t>- 2186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/>
          <w:p w:rsidR="007545B6" w:rsidRDefault="007545B6" w:rsidP="00E429E7">
            <w:pPr>
              <w:jc w:val="right"/>
            </w:pPr>
            <w:r>
              <w:t>- 2092</w:t>
            </w:r>
          </w:p>
        </w:tc>
      </w:tr>
      <w:tr w:rsidR="007545B6" w:rsidTr="00E429E7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 Rijeka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1761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45B6" w:rsidRDefault="007545B6" w:rsidP="00E429E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jc w:val="right"/>
            </w:pPr>
          </w:p>
          <w:p w:rsidR="007545B6" w:rsidRDefault="007545B6" w:rsidP="00E429E7">
            <w:pPr>
              <w:jc w:val="right"/>
            </w:pPr>
            <w:r>
              <w:t>- 1064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7545B6" w:rsidRDefault="007545B6" w:rsidP="00E429E7">
            <w:pPr>
              <w:jc w:val="right"/>
            </w:pPr>
          </w:p>
          <w:p w:rsidR="007545B6" w:rsidRDefault="007545B6" w:rsidP="00E429E7">
            <w:pPr>
              <w:jc w:val="right"/>
            </w:pPr>
            <w:r>
              <w:t>- 1044</w:t>
            </w:r>
          </w:p>
        </w:tc>
      </w:tr>
    </w:tbl>
    <w:p w:rsidR="007545B6" w:rsidRPr="00D52A40" w:rsidRDefault="007545B6" w:rsidP="007545B6">
      <w:pPr>
        <w:spacing w:after="0" w:line="240" w:lineRule="auto"/>
        <w:rPr>
          <w:rFonts w:ascii="Arial" w:hAnsi="Arial" w:cs="Arial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  <w:lang w:eastAsia="hr-HR"/>
        </w:rPr>
        <w:t>(Izvor:</w:t>
      </w:r>
      <w:r w:rsidRPr="00DA5446">
        <w:rPr>
          <w:rFonts w:ascii="Arial" w:hAnsi="Arial" w:cs="Arial"/>
          <w:sz w:val="18"/>
          <w:szCs w:val="18"/>
          <w:lang w:eastAsia="hr-HR"/>
        </w:rPr>
        <w:t xml:space="preserve"> </w:t>
      </w:r>
      <w:r>
        <w:rPr>
          <w:rFonts w:ascii="Arial" w:hAnsi="Arial" w:cs="Arial"/>
          <w:sz w:val="18"/>
          <w:szCs w:val="18"/>
          <w:lang w:eastAsia="hr-HR"/>
        </w:rPr>
        <w:t>Državni zavod za statistiku RH,</w:t>
      </w:r>
      <w:r w:rsidRPr="00737CA1">
        <w:t xml:space="preserve"> </w:t>
      </w:r>
      <w:hyperlink r:id="rId8" w:history="1">
        <w:r w:rsidRPr="009B202C">
          <w:rPr>
            <w:rStyle w:val="Hyperlink"/>
            <w:rFonts w:ascii="Arial" w:hAnsi="Arial" w:cs="Arial"/>
            <w:sz w:val="18"/>
            <w:szCs w:val="18"/>
            <w:lang w:eastAsia="hr-HR"/>
          </w:rPr>
          <w:t>https://podaci.dzs.hr/2024/hr/76800</w:t>
        </w:r>
      </w:hyperlink>
      <w:r>
        <w:rPr>
          <w:rFonts w:ascii="Arial" w:hAnsi="Arial" w:cs="Arial"/>
          <w:sz w:val="18"/>
          <w:szCs w:val="18"/>
          <w:lang w:eastAsia="hr-HR"/>
        </w:rPr>
        <w:t xml:space="preserve">; </w:t>
      </w:r>
      <w:hyperlink r:id="rId9" w:history="1">
        <w:r w:rsidRPr="009B202C">
          <w:rPr>
            <w:rStyle w:val="Hyperlink"/>
            <w:rFonts w:ascii="Arial" w:hAnsi="Arial" w:cs="Arial"/>
            <w:sz w:val="18"/>
            <w:szCs w:val="18"/>
            <w:lang w:eastAsia="hr-HR"/>
          </w:rPr>
          <w:t>https://podaci.dzs.hr/2023/hr/58059</w:t>
        </w:r>
      </w:hyperlink>
      <w:r>
        <w:rPr>
          <w:rFonts w:ascii="Arial" w:hAnsi="Arial" w:cs="Arial"/>
          <w:sz w:val="18"/>
          <w:szCs w:val="18"/>
          <w:lang w:eastAsia="hr-HR"/>
        </w:rPr>
        <w:t>)</w:t>
      </w:r>
    </w:p>
    <w:p w:rsidR="007545B6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1010F7">
        <w:rPr>
          <w:rFonts w:ascii="Arial" w:hAnsi="Arial" w:cs="Arial"/>
          <w:sz w:val="22"/>
          <w:szCs w:val="22"/>
        </w:rPr>
        <w:t>Strategija demografske revitalizacije Republike Hrvatske do 2033. godine</w:t>
      </w:r>
      <w:r>
        <w:rPr>
          <w:rFonts w:ascii="Arial" w:hAnsi="Arial" w:cs="Arial"/>
          <w:sz w:val="22"/>
          <w:szCs w:val="22"/>
        </w:rPr>
        <w:t xml:space="preserve"> (u daljnjem tekstu: Strategija) u uvodnom dijelu navodi kako se očekivano trajanje života znatno produljilo, dok je istovremeno vremensko razdoblje u kojem je žena fertilno sposobna ostalo nepromijenjeno. Rađanje prvog djeteta odgađa se za sve kasniju dob čime se skraćuje vrijeme optimalne plodnosti žene, a time smanjuje i šansa za ostvarivanje fertilitetnih planova iz mladosti. Npr. prosječna starost žene u vrijeme prvog poroda u RH je u 1991. godini bila oko 24 godine dok je danas prosječna starost žene oko 30 godina (Strategija, 2024:22; </w:t>
      </w:r>
      <w:hyperlink r:id="rId10" w:history="1">
        <w:r w:rsidRPr="004327B6">
          <w:rPr>
            <w:rStyle w:val="Hyperlink"/>
            <w:rFonts w:ascii="Arial" w:hAnsi="Arial" w:cs="Arial"/>
            <w:sz w:val="22"/>
            <w:szCs w:val="22"/>
          </w:rPr>
          <w:t>https://narodne-novine.nn.hr/clanci/sluzbeni/2024_03_36_580.html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Znanstvena istraživanja pokazuju kako reproduktivna sposobnost žene opada nakon 30 godine, a znatnije nakon 35 godine života. Kod muškaraca reproduktivna sposobnost znatnije opada nakon 40. godine života starosti. Iz istog proizlazi kako se s porastom dobi, privremena i namjerna odgoda rađanja može pretvoriti u nenamjernu i trajnu, te se posljedično sve više parova odlučuje potražiti medicinsku pomoć u vidu nekog od oblika medicinske </w:t>
      </w:r>
      <w:proofErr w:type="spellStart"/>
      <w:r>
        <w:rPr>
          <w:rFonts w:ascii="Arial" w:hAnsi="Arial" w:cs="Arial"/>
          <w:sz w:val="22"/>
          <w:szCs w:val="22"/>
        </w:rPr>
        <w:t>pomognute</w:t>
      </w:r>
      <w:proofErr w:type="spellEnd"/>
      <w:r>
        <w:rPr>
          <w:rFonts w:ascii="Arial" w:hAnsi="Arial" w:cs="Arial"/>
          <w:sz w:val="22"/>
          <w:szCs w:val="22"/>
        </w:rPr>
        <w:t xml:space="preserve"> oplodnje. Prema podacima Europskog društva za humanu reprodukciju i embriologiju financiranje postupaka medicinski </w:t>
      </w:r>
      <w:proofErr w:type="spellStart"/>
      <w:r>
        <w:rPr>
          <w:rFonts w:ascii="Arial" w:hAnsi="Arial" w:cs="Arial"/>
          <w:sz w:val="22"/>
          <w:szCs w:val="22"/>
        </w:rPr>
        <w:t>pomognute</w:t>
      </w:r>
      <w:proofErr w:type="spellEnd"/>
      <w:r>
        <w:rPr>
          <w:rFonts w:ascii="Arial" w:hAnsi="Arial" w:cs="Arial"/>
          <w:sz w:val="22"/>
          <w:szCs w:val="22"/>
        </w:rPr>
        <w:t xml:space="preserve"> oplodnje se razlikuje među zemljama, a Republika Hrvatska, Bugarska i Grčka su jedine zemlje koje pokrivaju sve troškove liječenja medicinskih oblika neplodnosti (Strategija, 2024:23; </w:t>
      </w:r>
      <w:hyperlink r:id="rId11" w:history="1">
        <w:r w:rsidRPr="004327B6">
          <w:rPr>
            <w:rStyle w:val="Hyperlink"/>
            <w:rFonts w:ascii="Arial" w:hAnsi="Arial" w:cs="Arial"/>
            <w:sz w:val="22"/>
            <w:szCs w:val="22"/>
          </w:rPr>
          <w:t>https://narodne-novine.nn.hr/clanci/sluzbeni/2024_03_36_580.html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7545B6" w:rsidRDefault="007545B6" w:rsidP="007545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svega navedenog proizlazi kako je uporaba medicinski </w:t>
      </w:r>
      <w:proofErr w:type="spellStart"/>
      <w:r>
        <w:rPr>
          <w:rFonts w:ascii="Arial" w:hAnsi="Arial" w:cs="Arial"/>
          <w:sz w:val="22"/>
          <w:szCs w:val="22"/>
        </w:rPr>
        <w:t>pomognute</w:t>
      </w:r>
      <w:proofErr w:type="spellEnd"/>
      <w:r>
        <w:rPr>
          <w:rFonts w:ascii="Arial" w:hAnsi="Arial" w:cs="Arial"/>
          <w:sz w:val="22"/>
          <w:szCs w:val="22"/>
        </w:rPr>
        <w:t xml:space="preserve"> oplodnje relevantna za populaciju politiku  te je sukladno Strategiji utvrđeno kako je parovima koji imaju dijagnosticiran neki od oblika neplodnosti potrebno osigurati potrebnu podršku kako od strane poslodavca, tako i od strane tijela državne i lokalne vlasti.</w:t>
      </w:r>
    </w:p>
    <w:p w:rsidR="007545B6" w:rsidRDefault="007545B6" w:rsidP="007545B6">
      <w:pPr>
        <w:pStyle w:val="Default"/>
        <w:ind w:firstLine="720"/>
        <w:jc w:val="both"/>
        <w:rPr>
          <w:sz w:val="22"/>
          <w:szCs w:val="22"/>
          <w:lang w:val="hr-HR"/>
        </w:rPr>
      </w:pPr>
      <w:r w:rsidRPr="004E5F4C">
        <w:rPr>
          <w:sz w:val="22"/>
          <w:szCs w:val="22"/>
          <w:lang w:val="hr-HR"/>
        </w:rPr>
        <w:lastRenderedPageBreak/>
        <w:t xml:space="preserve">Medicinski </w:t>
      </w:r>
      <w:proofErr w:type="spellStart"/>
      <w:r w:rsidRPr="004E5F4C">
        <w:rPr>
          <w:sz w:val="22"/>
          <w:szCs w:val="22"/>
          <w:lang w:val="hr-HR"/>
        </w:rPr>
        <w:t>pomognuta</w:t>
      </w:r>
      <w:proofErr w:type="spellEnd"/>
      <w:r w:rsidRPr="004E5F4C">
        <w:rPr>
          <w:sz w:val="22"/>
          <w:szCs w:val="22"/>
          <w:lang w:val="hr-HR"/>
        </w:rPr>
        <w:t xml:space="preserve"> oplodnja </w:t>
      </w:r>
      <w:r>
        <w:rPr>
          <w:sz w:val="22"/>
          <w:szCs w:val="22"/>
          <w:lang w:val="hr-HR"/>
        </w:rPr>
        <w:t xml:space="preserve">(u daljnjem tekstu: MPO) </w:t>
      </w:r>
      <w:r w:rsidRPr="004E5F4C">
        <w:rPr>
          <w:sz w:val="22"/>
          <w:szCs w:val="22"/>
          <w:lang w:val="hr-HR"/>
        </w:rPr>
        <w:t xml:space="preserve">u Republici Hrvatskoj uređena je Zakonom o medicinski </w:t>
      </w:r>
      <w:proofErr w:type="spellStart"/>
      <w:r w:rsidRPr="004E5F4C">
        <w:rPr>
          <w:sz w:val="22"/>
          <w:szCs w:val="22"/>
          <w:lang w:val="hr-HR"/>
        </w:rPr>
        <w:t>pomognutoj</w:t>
      </w:r>
      <w:proofErr w:type="spellEnd"/>
      <w:r w:rsidRPr="004E5F4C">
        <w:rPr>
          <w:sz w:val="22"/>
          <w:szCs w:val="22"/>
          <w:lang w:val="hr-HR"/>
        </w:rPr>
        <w:t xml:space="preserve"> oplodnji (“Narodne novine” broj 86/12</w:t>
      </w:r>
      <w:r>
        <w:rPr>
          <w:sz w:val="22"/>
          <w:szCs w:val="22"/>
          <w:lang w:val="hr-HR"/>
        </w:rPr>
        <w:t xml:space="preserve">; </w:t>
      </w:r>
      <w:r w:rsidRPr="004E5F4C">
        <w:rPr>
          <w:sz w:val="22"/>
          <w:szCs w:val="22"/>
          <w:lang w:val="hr-HR"/>
        </w:rPr>
        <w:t xml:space="preserve">u daljnjem tekstu: Zakon). </w:t>
      </w:r>
      <w:r>
        <w:rPr>
          <w:sz w:val="22"/>
          <w:szCs w:val="22"/>
          <w:lang w:val="hr-HR"/>
        </w:rPr>
        <w:t xml:space="preserve">Zakonom su </w:t>
      </w:r>
      <w:r w:rsidRPr="004E5F4C">
        <w:rPr>
          <w:sz w:val="22"/>
          <w:szCs w:val="22"/>
          <w:lang w:val="hr-HR"/>
        </w:rPr>
        <w:t xml:space="preserve">uređeni uvjeti za ostvarivanje prava na </w:t>
      </w:r>
      <w:r>
        <w:rPr>
          <w:sz w:val="22"/>
          <w:szCs w:val="22"/>
          <w:lang w:val="hr-HR"/>
        </w:rPr>
        <w:t>MPO</w:t>
      </w:r>
      <w:r w:rsidRPr="004E5F4C">
        <w:rPr>
          <w:sz w:val="22"/>
          <w:szCs w:val="22"/>
          <w:lang w:val="hr-HR"/>
        </w:rPr>
        <w:t xml:space="preserve"> te prava, obveze i odgovornost</w:t>
      </w:r>
      <w:r>
        <w:rPr>
          <w:sz w:val="22"/>
          <w:szCs w:val="22"/>
          <w:lang w:val="hr-HR"/>
        </w:rPr>
        <w:t>i</w:t>
      </w:r>
      <w:r w:rsidRPr="004E5F4C">
        <w:rPr>
          <w:sz w:val="22"/>
          <w:szCs w:val="22"/>
          <w:lang w:val="hr-HR"/>
        </w:rPr>
        <w:t xml:space="preserve"> svih sudionika postupaka </w:t>
      </w:r>
      <w:r>
        <w:rPr>
          <w:sz w:val="22"/>
          <w:szCs w:val="22"/>
          <w:lang w:val="hr-HR"/>
        </w:rPr>
        <w:t>MPO</w:t>
      </w:r>
      <w:r w:rsidRPr="004E5F4C">
        <w:rPr>
          <w:sz w:val="22"/>
          <w:szCs w:val="22"/>
          <w:lang w:val="hr-HR"/>
        </w:rPr>
        <w:t xml:space="preserve">. </w:t>
      </w:r>
      <w:r w:rsidRPr="001D4577">
        <w:rPr>
          <w:sz w:val="22"/>
          <w:szCs w:val="22"/>
          <w:lang w:val="hr-HR"/>
        </w:rPr>
        <w:t xml:space="preserve">Temeljem važećeg Zakona, pristup MPO imaju punoljetni i poslovno sposobni žena i muškarac koji su u braku ili u izvanbračnoj zajednici, a koji su s obzirom na životnu dob i opće zdravstveno stanje sposobni za roditeljsku skrb o djetetu. Pravo na MPO ima i punoljetna, poslovno sposobna žena koja ne živi u braku ili izvanbračnoj ili </w:t>
      </w:r>
      <w:proofErr w:type="spellStart"/>
      <w:r w:rsidRPr="001D4577">
        <w:rPr>
          <w:sz w:val="22"/>
          <w:szCs w:val="22"/>
          <w:lang w:val="hr-HR"/>
        </w:rPr>
        <w:t>istospolnoj</w:t>
      </w:r>
      <w:proofErr w:type="spellEnd"/>
      <w:r w:rsidRPr="001D4577">
        <w:rPr>
          <w:sz w:val="22"/>
          <w:szCs w:val="22"/>
          <w:lang w:val="hr-HR"/>
        </w:rPr>
        <w:t xml:space="preserve"> zajednici, čije je dosadašnje liječenje neplodnosti ostalo bezuspješno te je utvrđena bezizglednost drugih oblika liječenja, uz uvjet da je s obzirom na životnu dob i opće zdravstveno stanje sposobna za roditeljsku skrb o djetetu. Uz njih, pravo na MPO omogućuje se i osobi koja odlukom o lišenju poslovne sposobnosti nije ograničena u davanju izjava koje se tiču osobnog stanja. Pravo na medicinski </w:t>
      </w:r>
      <w:proofErr w:type="spellStart"/>
      <w:r w:rsidRPr="001D4577">
        <w:rPr>
          <w:sz w:val="22"/>
          <w:szCs w:val="22"/>
          <w:lang w:val="hr-HR"/>
        </w:rPr>
        <w:t>pomognutu</w:t>
      </w:r>
      <w:proofErr w:type="spellEnd"/>
      <w:r w:rsidRPr="001D4577">
        <w:rPr>
          <w:sz w:val="22"/>
          <w:szCs w:val="22"/>
          <w:lang w:val="hr-HR"/>
        </w:rPr>
        <w:t xml:space="preserve"> oplodnju na teret Hrvatskog zavoda za zdravstveno osiguranje (dalje u tekstu: HZZO) u pravilu ima žena do navršene 42. godine života. Liječnik koji provodi postupak medicinski </w:t>
      </w:r>
      <w:proofErr w:type="spellStart"/>
      <w:r w:rsidRPr="001D4577">
        <w:rPr>
          <w:sz w:val="22"/>
          <w:szCs w:val="22"/>
          <w:lang w:val="hr-HR"/>
        </w:rPr>
        <w:t>pomognute</w:t>
      </w:r>
      <w:proofErr w:type="spellEnd"/>
      <w:r w:rsidRPr="001D4577">
        <w:rPr>
          <w:sz w:val="22"/>
          <w:szCs w:val="22"/>
          <w:lang w:val="hr-HR"/>
        </w:rPr>
        <w:t xml:space="preserve"> oplodnje, iz osobito opravdanih zdravstvenih razloga može omogućiti pravo na medicinski </w:t>
      </w:r>
      <w:proofErr w:type="spellStart"/>
      <w:r w:rsidRPr="001D4577">
        <w:rPr>
          <w:sz w:val="22"/>
          <w:szCs w:val="22"/>
          <w:lang w:val="hr-HR"/>
        </w:rPr>
        <w:t>pomognutu</w:t>
      </w:r>
      <w:proofErr w:type="spellEnd"/>
      <w:r w:rsidRPr="001D4577">
        <w:rPr>
          <w:sz w:val="22"/>
          <w:szCs w:val="22"/>
          <w:lang w:val="hr-HR"/>
        </w:rPr>
        <w:t xml:space="preserve"> oplodnju i ženi nakon navršene 42. godine života. Liječenje neplodnosti postupcima MPO na teret HZZO</w:t>
      </w:r>
      <w:r>
        <w:rPr>
          <w:sz w:val="22"/>
          <w:szCs w:val="22"/>
          <w:lang w:val="hr-HR"/>
        </w:rPr>
        <w:t>-a</w:t>
      </w:r>
      <w:r w:rsidRPr="001D4577">
        <w:rPr>
          <w:sz w:val="22"/>
          <w:szCs w:val="22"/>
          <w:lang w:val="hr-HR"/>
        </w:rPr>
        <w:t xml:space="preserve"> obuhvaća četiri pokušaja </w:t>
      </w:r>
      <w:proofErr w:type="spellStart"/>
      <w:r w:rsidRPr="001D4577">
        <w:rPr>
          <w:sz w:val="22"/>
          <w:szCs w:val="22"/>
          <w:lang w:val="hr-HR"/>
        </w:rPr>
        <w:t>intrauterine</w:t>
      </w:r>
      <w:proofErr w:type="spellEnd"/>
      <w:r w:rsidRPr="001D4577">
        <w:rPr>
          <w:sz w:val="22"/>
          <w:szCs w:val="22"/>
          <w:lang w:val="hr-HR"/>
        </w:rPr>
        <w:t xml:space="preserve"> </w:t>
      </w:r>
      <w:proofErr w:type="spellStart"/>
      <w:r w:rsidRPr="001D4577">
        <w:rPr>
          <w:sz w:val="22"/>
          <w:szCs w:val="22"/>
          <w:lang w:val="hr-HR"/>
        </w:rPr>
        <w:t>inseminacije</w:t>
      </w:r>
      <w:proofErr w:type="spellEnd"/>
      <w:r w:rsidRPr="001D4577">
        <w:rPr>
          <w:sz w:val="22"/>
          <w:szCs w:val="22"/>
          <w:lang w:val="hr-HR"/>
        </w:rPr>
        <w:t xml:space="preserve"> (IUI) i šest pokušaja izvantjelesne oplodnje (IVF), uz obvezu da dva pokušaja IVF-a budu u prirodnome ciklusu.  </w:t>
      </w:r>
    </w:p>
    <w:p w:rsidR="007545B6" w:rsidRPr="00CC3B8A" w:rsidRDefault="007545B6" w:rsidP="007545B6">
      <w:pPr>
        <w:pStyle w:val="Default"/>
        <w:ind w:firstLine="720"/>
        <w:jc w:val="both"/>
        <w:rPr>
          <w:color w:val="auto"/>
          <w:sz w:val="22"/>
          <w:szCs w:val="22"/>
          <w:lang w:val="hr-HR"/>
        </w:rPr>
      </w:pPr>
      <w:r w:rsidRPr="003F1EF3">
        <w:rPr>
          <w:color w:val="auto"/>
          <w:sz w:val="22"/>
          <w:szCs w:val="22"/>
          <w:lang w:val="hr-HR"/>
        </w:rPr>
        <w:t>Nadalje, kako dio parova koji se susreću s nekim od oblika neplodnosti, ne uspije s gore navedenim tretmanima realizirati trudnoću</w:t>
      </w:r>
      <w:r>
        <w:rPr>
          <w:color w:val="auto"/>
          <w:sz w:val="22"/>
          <w:szCs w:val="22"/>
          <w:lang w:val="hr-HR"/>
        </w:rPr>
        <w:t>,</w:t>
      </w:r>
      <w:r w:rsidRPr="003F1EF3">
        <w:rPr>
          <w:color w:val="auto"/>
          <w:sz w:val="22"/>
          <w:szCs w:val="22"/>
          <w:lang w:val="hr-HR"/>
        </w:rPr>
        <w:t xml:space="preserve"> a imaju želju i dalje nastaviti s postupkom </w:t>
      </w:r>
      <w:r>
        <w:rPr>
          <w:color w:val="auto"/>
          <w:sz w:val="22"/>
          <w:szCs w:val="22"/>
          <w:lang w:val="hr-HR"/>
        </w:rPr>
        <w:t>MPO</w:t>
      </w:r>
      <w:r w:rsidRPr="003F1EF3">
        <w:rPr>
          <w:color w:val="auto"/>
          <w:sz w:val="22"/>
          <w:szCs w:val="22"/>
          <w:lang w:val="hr-HR"/>
        </w:rPr>
        <w:t>, isto moraju plaćati što predstavlja značajan financijski trošak (npr. uz dodatne terapije koje su prilagođene, iznosi prelaze i preko 2.000</w:t>
      </w:r>
      <w:r>
        <w:rPr>
          <w:color w:val="auto"/>
          <w:sz w:val="22"/>
          <w:szCs w:val="22"/>
          <w:lang w:val="hr-HR"/>
        </w:rPr>
        <w:t>,00</w:t>
      </w:r>
      <w:r w:rsidRPr="003F1EF3">
        <w:rPr>
          <w:color w:val="auto"/>
          <w:sz w:val="22"/>
          <w:szCs w:val="22"/>
          <w:lang w:val="hr-HR"/>
        </w:rPr>
        <w:t xml:space="preserve"> </w:t>
      </w:r>
      <w:proofErr w:type="spellStart"/>
      <w:r>
        <w:rPr>
          <w:bCs/>
        </w:rPr>
        <w:t>eura</w:t>
      </w:r>
      <w:proofErr w:type="spellEnd"/>
      <w:r w:rsidRPr="003F1EF3">
        <w:rPr>
          <w:color w:val="auto"/>
          <w:sz w:val="22"/>
          <w:szCs w:val="22"/>
          <w:lang w:val="hr-HR"/>
        </w:rPr>
        <w:t xml:space="preserve"> bez eventualnih troškova putovanja, </w:t>
      </w:r>
      <w:r w:rsidRPr="00CC3B8A">
        <w:rPr>
          <w:color w:val="auto"/>
          <w:sz w:val="22"/>
          <w:szCs w:val="22"/>
          <w:lang w:val="hr-HR"/>
        </w:rPr>
        <w:t>smještaja itd.).</w:t>
      </w:r>
    </w:p>
    <w:p w:rsidR="007545B6" w:rsidRPr="00CC3B8A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3B8A">
        <w:rPr>
          <w:rFonts w:ascii="Arial" w:hAnsi="Arial" w:cs="Arial"/>
        </w:rPr>
        <w:t xml:space="preserve">Važno je napomenuti kako je i Primorsko-goranska županije prepoznala važnost ovog demografskog izazova te u svrhu aktivnog doprinosa rješavanju istoga u svibnju 2024. godine donijela Odluku o sufinanciranju troškova postupka medicinski </w:t>
      </w:r>
      <w:proofErr w:type="spellStart"/>
      <w:r w:rsidRPr="00CC3B8A">
        <w:rPr>
          <w:rFonts w:ascii="Arial" w:hAnsi="Arial" w:cs="Arial"/>
        </w:rPr>
        <w:t>pomognute</w:t>
      </w:r>
      <w:proofErr w:type="spellEnd"/>
      <w:r w:rsidRPr="00CC3B8A">
        <w:rPr>
          <w:rFonts w:ascii="Arial" w:hAnsi="Arial" w:cs="Arial"/>
        </w:rPr>
        <w:t xml:space="preserve"> oplodnje (“Službene novine Primorsko-goranske županije“ broj 23/24), s konačnim ciljem poticanja općina i gradova (u daljnjem tekstu: JLS) na svom području na sufinanciranje troškova MPO. Primorsko-goranska županija propisuje sufinanciranje troškova MPO na način da svakoj JLS koja ima vlastiti opći akt o sufinanciranju troškova MPO i na temelju kojeg je odobrila sufinanciranje krajnjem korisniku, osigura isti iznos korisniku mjere, a najviše do 1.000,00 </w:t>
      </w:r>
      <w:r w:rsidRPr="00CC3B8A">
        <w:rPr>
          <w:rFonts w:ascii="Arial" w:hAnsi="Arial" w:cs="Arial"/>
          <w:bCs/>
        </w:rPr>
        <w:t>eura i to uplatom JLS za krajnjeg korisnika.</w:t>
      </w:r>
      <w:r w:rsidRPr="00CC3B8A">
        <w:rPr>
          <w:rFonts w:ascii="Arial" w:hAnsi="Arial" w:cs="Arial"/>
        </w:rPr>
        <w:t xml:space="preserve"> Daljnju provedbu ove mjere Primorsko-goranska županija regulirat će ugovorom o sufinanciranju kojim će se urediti međusobni odnosi Primorsko-goranske županije sa svakom pojedinom JLS koja ima normativni akt o sufinanciranju troškova MPO.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" w:name="_GoBack"/>
      <w:r w:rsidRPr="00001E50">
        <w:rPr>
          <w:rFonts w:ascii="Arial" w:hAnsi="Arial" w:cs="Arial"/>
        </w:rPr>
        <w:t>Slijedom navedenoga, a u svrhu aktivnog doprinosa rješavanju demografskih izazova, odnosno ostvarenju demografske revitalizacije kao i unapređenju kvalitete života građana/</w:t>
      </w:r>
      <w:proofErr w:type="spellStart"/>
      <w:r w:rsidRPr="00001E50">
        <w:rPr>
          <w:rFonts w:ascii="Arial" w:hAnsi="Arial" w:cs="Arial"/>
        </w:rPr>
        <w:t>ki</w:t>
      </w:r>
      <w:proofErr w:type="spellEnd"/>
      <w:r w:rsidRPr="00001E50">
        <w:rPr>
          <w:rFonts w:ascii="Arial" w:hAnsi="Arial" w:cs="Arial"/>
        </w:rPr>
        <w:t xml:space="preserve"> grada Rijeke, Grad Rijeka predlaže izradu normativnog akta s ciljem sufinanciranja troškova postupka medicinski </w:t>
      </w:r>
      <w:proofErr w:type="spellStart"/>
      <w:r w:rsidRPr="00001E50">
        <w:rPr>
          <w:rFonts w:ascii="Arial" w:hAnsi="Arial" w:cs="Arial"/>
        </w:rPr>
        <w:t>pomognute</w:t>
      </w:r>
      <w:proofErr w:type="spellEnd"/>
      <w:r w:rsidRPr="00001E50">
        <w:rPr>
          <w:rFonts w:ascii="Arial" w:hAnsi="Arial" w:cs="Arial"/>
        </w:rPr>
        <w:t xml:space="preserve"> oplodnje. Predmetnim aktom </w:t>
      </w:r>
      <w:r w:rsidRPr="00001E50">
        <w:rPr>
          <w:rFonts w:ascii="Arial" w:hAnsi="Arial" w:cs="Arial"/>
          <w:lang w:eastAsia="hr-HR"/>
        </w:rPr>
        <w:t>osigurala bi se mogućnost ostvarenja p</w:t>
      </w:r>
      <w:r w:rsidRPr="00001E50">
        <w:rPr>
          <w:rFonts w:ascii="Arial" w:hAnsi="Arial" w:cs="Arial"/>
        </w:rPr>
        <w:t>rava na sufinanciranje troškova MPO oplodnje onim parovima koji su iscrpili sve mogućnosti koje su, sukladno Zakonu, ostvarive na teret HZZO-a. Pravo na sufinanciranje može se ostvariti ispunjavanjem sljedećih uvjeta: da su potencijalni korisnici državljani Republike Hrvatske te da imaju prebivalište na području grada Rijeke u trajanju najmanje godinu dana u kontinuitetu prije dana podnošenja zahtjeva za sufinanciranje troškova postupka MPO provedenog u Republici Hrvatskoj ili inozemstvu.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</w:rPr>
        <w:tab/>
        <w:t xml:space="preserve">Nacrt prijedloga Odluke o sufinanciranju troškova </w:t>
      </w:r>
      <w:r w:rsidRPr="00001E50">
        <w:rPr>
          <w:rFonts w:ascii="Arial" w:hAnsi="Arial" w:cs="Arial"/>
          <w:lang w:eastAsia="hr-HR"/>
        </w:rPr>
        <w:t xml:space="preserve">postupka medicinski </w:t>
      </w:r>
      <w:proofErr w:type="spellStart"/>
      <w:r w:rsidRPr="00001E50">
        <w:rPr>
          <w:rFonts w:ascii="Arial" w:hAnsi="Arial" w:cs="Arial"/>
          <w:lang w:eastAsia="hr-HR"/>
        </w:rPr>
        <w:t>pomognute</w:t>
      </w:r>
      <w:proofErr w:type="spellEnd"/>
      <w:r w:rsidRPr="00001E50">
        <w:rPr>
          <w:rFonts w:ascii="Arial" w:hAnsi="Arial" w:cs="Arial"/>
          <w:lang w:eastAsia="hr-HR"/>
        </w:rPr>
        <w:t xml:space="preserve"> oplodnje (u daljnjem tekstu: Odluka) predviđa </w:t>
      </w:r>
      <w:r w:rsidRPr="00001E50">
        <w:rPr>
          <w:rFonts w:ascii="Arial" w:hAnsi="Arial" w:cs="Arial"/>
        </w:rPr>
        <w:t xml:space="preserve"> sufinanciranje troškova postupka MPO korisnika u visini iznosa od 50% ukupnih troškova postupka MPO, ali najviše do iznosa 2.000,00 </w:t>
      </w:r>
      <w:r w:rsidRPr="00001E50">
        <w:rPr>
          <w:rFonts w:ascii="Arial" w:hAnsi="Arial" w:cs="Arial"/>
          <w:bCs/>
        </w:rPr>
        <w:t>eura</w:t>
      </w:r>
      <w:r w:rsidRPr="00001E50">
        <w:rPr>
          <w:rFonts w:ascii="Arial" w:hAnsi="Arial" w:cs="Arial"/>
        </w:rPr>
        <w:t xml:space="preserve">. </w:t>
      </w:r>
      <w:r w:rsidRPr="00001E50">
        <w:rPr>
          <w:rFonts w:ascii="Arial" w:hAnsi="Arial" w:cs="Arial"/>
          <w:lang w:eastAsia="en-GB"/>
        </w:rPr>
        <w:t>Sufinanciranje troškova može se ostvariti najviše za jedan pokušaj postupka MPO tijekom jedne kalendarske godine. Odlukom je predviđena mogućnost sufinanciranja i za postupke MPO koji su započeli jednu godinu unatrag od stupanja na snagu Odluke.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t>Troškovi koji će se priznavati su troškovi postupka MPO sukladno cjeniku ovlaštene zdravstvene ustanove za provođenje postupaka MPO u Republici Hrvatskoj ili inozemstvu, troškovi pregleda liječnika specijalista ginekologije vezanih uz postupak MPO; te troškovi propisanih lijekova vezanih uz postupak MPO.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lastRenderedPageBreak/>
        <w:t>Pravo na sufinanciranje troškova MPO moguće je ostvariti podnošenjem zahtjeva i relevantne dokumentacije i to kako slijedi: dokazi o uključenju u postupak MPO (liječnička dokumentacija), računi s dokazom o plaćanju troškova postupka MPO ili drugi dokazi o nastalom i plaćenom trošku povezanom s postupkom MPO, izjava kojom se pod materijalnom i kaznenom odgovornošću izjavljuje kako su iscrpljene sve mogućnosti MPO na teret HZZO-a te da se postupak MPO za koji se podnosi zahtjev ne provodi na teret HZZO-a i druga dokumentacija prema traženju nadležnog upravnog odjela.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001E50">
        <w:rPr>
          <w:rFonts w:ascii="Arial" w:hAnsi="Arial" w:cs="Arial"/>
        </w:rPr>
        <w:t xml:space="preserve">Postupak obrade zahtjeva potencijalnih korisnika ove mjere provodit će Upravni odjel za zdravstvo, socijalnu zaštitu i unapređenje kvalitete života (u daljnjem tekstu: Upravni odjel) i </w:t>
      </w:r>
      <w:r w:rsidRPr="00001E50">
        <w:rPr>
          <w:rFonts w:ascii="Arial" w:hAnsi="Arial" w:cs="Arial"/>
          <w:bCs/>
        </w:rPr>
        <w:t>zahtjev s dokumentacijom podnosi se Upravnom odjelu do 31. prosinca tekuće kalendarske godine.</w:t>
      </w:r>
    </w:p>
    <w:p w:rsidR="007545B6" w:rsidRPr="00001E50" w:rsidRDefault="007545B6" w:rsidP="00754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tab/>
        <w:t>U nastavku ovoga materijala daje se obrazloženje po pojedinim člancima Nacrta prijedloga Odluke.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 xml:space="preserve">Članak 1. 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 xml:space="preserve">U članku 1. određuje se što se uređuje Odlukom i to uvjeti, visina i način sufinanciranja troškova postupka MPO. U istom članku se sukladno Zakonu o medicinski </w:t>
      </w:r>
      <w:proofErr w:type="spellStart"/>
      <w:r w:rsidRPr="00001E50">
        <w:rPr>
          <w:rFonts w:ascii="Arial" w:hAnsi="Arial" w:cs="Arial"/>
          <w:lang w:eastAsia="en-GB"/>
        </w:rPr>
        <w:t>pomognuoj</w:t>
      </w:r>
      <w:proofErr w:type="spellEnd"/>
      <w:r w:rsidRPr="00001E50">
        <w:rPr>
          <w:rFonts w:ascii="Arial" w:hAnsi="Arial" w:cs="Arial"/>
          <w:lang w:eastAsia="en-GB"/>
        </w:rPr>
        <w:t xml:space="preserve"> oplodnji utvrđuje i što se smatra postupkom MPO.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 xml:space="preserve">Članak 2. 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>Članak 2. propisuje kako će Grad Rijeka sufinancirati troškove postupka MPO koji nisu pokriveni od strane HZZO-a te tko ima pravo ostvariti predmetno sufinanciranje – osoba koja je iscrpila sve mogućnosti koje su sukladno Zakonu, ostvarive na teret HZZO-a.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3.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>Člankom 3. propisani su uvjeti za ostvarenje sufinanciranja troškova postupka MPO. Pravo na sufinanciranje mogu ostvariti osobe koje su državljani Republike Hrvatske, s prebivalištem na području grada Rijeke (najmanje godinu dana u kontinuitetu) te da je postupak MPO proveden u Republici Hrvatskoj ili inozemstvu.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4.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 xml:space="preserve">Članak 4. propisuje visinu iznosa sufinanciranja troškova postupka MPO, što iznosi do  50% ukupnih troškova postupka ali maksimalno do iznosa 2.000,00 </w:t>
      </w:r>
      <w:r w:rsidRPr="00001E50">
        <w:rPr>
          <w:rFonts w:ascii="Arial" w:hAnsi="Arial" w:cs="Arial"/>
          <w:bCs/>
        </w:rPr>
        <w:t>eura</w:t>
      </w:r>
      <w:r w:rsidRPr="00001E50">
        <w:rPr>
          <w:rFonts w:ascii="Arial" w:hAnsi="Arial" w:cs="Arial"/>
          <w:lang w:eastAsia="en-GB"/>
        </w:rPr>
        <w:t>, te kako je isto moguće ostvariti najviše za jedan pokušaj postupka MPO tijekom jedne kalendarske godine. Također, sufinanciranje je moguće ostvariti i za postupke MPO koji su započeli jednu godinu unatrag od stupanja na snagu Odluke.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001E50">
        <w:rPr>
          <w:rFonts w:ascii="Arial" w:hAnsi="Arial" w:cs="Arial"/>
          <w:b/>
          <w:lang w:eastAsia="en-GB"/>
        </w:rPr>
        <w:t>Članak 5.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 xml:space="preserve"> Članak 5. propisuje vrste troškova postupka MPO koji se smatraju prihvatljivim za sufinanciranje i to su: troškovi postupka MPO, troškovi pregleda liječnika vezanih uz postupak MPO te troškovi propisanih lijekova uz postupak MPO.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6.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 xml:space="preserve">Člankom 6. utvrđuje se način ostvarivanja prava na sufinanciranje troškova postupka MPO - podnošenjem zahtjeva za sufinanciranjem troškova postupka MPO koji se objavljuje na mrežnim stranicama Grada Rijeke, </w:t>
      </w:r>
      <w:hyperlink r:id="rId12" w:history="1">
        <w:r w:rsidRPr="00001E50">
          <w:rPr>
            <w:rStyle w:val="Hyperlink"/>
            <w:rFonts w:ascii="Arial" w:hAnsi="Arial" w:cs="Arial"/>
            <w:lang w:eastAsia="en-GB"/>
          </w:rPr>
          <w:t>www.rijeka.hr</w:t>
        </w:r>
      </w:hyperlink>
      <w:r w:rsidRPr="00001E50">
        <w:rPr>
          <w:rFonts w:ascii="Arial" w:hAnsi="Arial" w:cs="Arial"/>
          <w:lang w:eastAsia="en-GB"/>
        </w:rPr>
        <w:t>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7.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01E50">
        <w:rPr>
          <w:rFonts w:ascii="Arial" w:hAnsi="Arial" w:cs="Arial"/>
          <w:lang w:eastAsia="en-GB"/>
        </w:rPr>
        <w:t xml:space="preserve">Članak 7. propisuje obveznu dokumentaciju koju je potrebno priložiti uz zahtjev iz članka 6. Odluke i to: </w:t>
      </w:r>
      <w:r w:rsidRPr="00001E50">
        <w:rPr>
          <w:rFonts w:ascii="Arial" w:hAnsi="Arial" w:cs="Arial"/>
        </w:rPr>
        <w:t>dokaze o uključenju u postupak MPO (liječnička dokumentacija); račune s dokazom o plaćanju troškova postupka MPO ili druge dokaze o nastalom i plaćenom trošku povezanom s postupkom MPO, izjavu kojom se pod materijalnom i kaznenom odgovornošću izjavljuje kako su iscrpljene sve mogućnosti MPO na teret HZZO-a te da se postupak MPO za koji se podnosi zahtjev ne provodi na teret HZZO-a; i drugu dokumentaciju na traženje Upravnog odjela.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8.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 xml:space="preserve">Člankom 8. utvrđuje se rok u kojem se zahtjev za sufinanciranje troškova postupka MPO podnosi Upravnom odjelu </w:t>
      </w:r>
      <w:r w:rsidRPr="00001E50">
        <w:rPr>
          <w:rFonts w:ascii="Arial" w:hAnsi="Arial" w:cs="Arial"/>
        </w:rPr>
        <w:t xml:space="preserve">i to </w:t>
      </w:r>
      <w:r w:rsidRPr="00001E50">
        <w:rPr>
          <w:rFonts w:ascii="Arial" w:hAnsi="Arial" w:cs="Arial"/>
          <w:lang w:eastAsia="en-GB"/>
        </w:rPr>
        <w:t>do 31. prosinca tekuće kalendarske godine te cjelokupni postupak utvrđivanja prava na sufinanciranje troškova postupka MPO provodi nadležni Upravni odjel, na temelju podataka iz zahtjeva i službenih evidencija drugih tijela za čije je korištenje Grad Rijeka ovlašten.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9.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lastRenderedPageBreak/>
        <w:t>Članak 9. propisuje uputu kako o zahtjevu za sufinanciranje troškova postupka MPO nadležni upravni odjel donosi rješenje protiv kojeg je dozvoljena žalba u roku 15 dana od dana dostave rješenje na koju se ne plaća upravna pristojba. O žalbi odlučuje Gradonačelnik te je odluka konačna i izvršna.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Članak 10.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  <w:lang w:eastAsia="en-GB"/>
        </w:rPr>
      </w:pPr>
      <w:r w:rsidRPr="00001E50">
        <w:rPr>
          <w:rFonts w:ascii="Arial" w:hAnsi="Arial" w:cs="Arial"/>
          <w:lang w:eastAsia="en-GB"/>
        </w:rPr>
        <w:t>Člankom 10. uređuje se stupanje na snagu Odluke.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:rsidR="007545B6" w:rsidRPr="00001E50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Pr="00001E50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  <w:r w:rsidRPr="00001E50">
        <w:rPr>
          <w:rFonts w:ascii="Arial" w:hAnsi="Arial" w:cs="Arial"/>
          <w:b/>
          <w:bCs/>
          <w:lang w:eastAsia="en-GB"/>
        </w:rPr>
        <w:t>III. Financijski učinak</w:t>
      </w:r>
    </w:p>
    <w:p w:rsidR="007545B6" w:rsidRPr="00001E50" w:rsidRDefault="007545B6" w:rsidP="007545B6">
      <w:pPr>
        <w:spacing w:after="0" w:line="240" w:lineRule="auto"/>
        <w:jc w:val="both"/>
        <w:rPr>
          <w:rFonts w:ascii="Arial" w:hAnsi="Arial" w:cs="Arial"/>
          <w:b/>
          <w:bCs/>
          <w:lang w:eastAsia="en-GB"/>
        </w:rPr>
      </w:pP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t xml:space="preserve">Uzimajući u obzir visinu troškova postupka medicinske </w:t>
      </w:r>
      <w:proofErr w:type="spellStart"/>
      <w:r w:rsidRPr="00001E50">
        <w:rPr>
          <w:rFonts w:ascii="Arial" w:hAnsi="Arial" w:cs="Arial"/>
        </w:rPr>
        <w:t>pomognute</w:t>
      </w:r>
      <w:proofErr w:type="spellEnd"/>
      <w:r w:rsidRPr="00001E50">
        <w:rPr>
          <w:rFonts w:ascii="Arial" w:hAnsi="Arial" w:cs="Arial"/>
        </w:rPr>
        <w:t xml:space="preserve"> oplodnje predlaže se visina iznosa do 50% troška postupka MPO, ali maksimalno do 2.000,00 </w:t>
      </w:r>
      <w:r w:rsidRPr="00001E50">
        <w:rPr>
          <w:rFonts w:ascii="Arial" w:hAnsi="Arial" w:cs="Arial"/>
          <w:bCs/>
        </w:rPr>
        <w:t>eura</w:t>
      </w:r>
      <w:r w:rsidRPr="00001E50">
        <w:rPr>
          <w:rFonts w:ascii="Arial" w:hAnsi="Arial" w:cs="Arial"/>
        </w:rPr>
        <w:t>.</w:t>
      </w:r>
    </w:p>
    <w:p w:rsidR="007545B6" w:rsidRPr="00001E50" w:rsidRDefault="007545B6" w:rsidP="007545B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t xml:space="preserve">Za provedbu ovoga akta u 2025. godini osigurat će se proračunska sredstva u visini iznosa 45.000,00 </w:t>
      </w:r>
      <w:r w:rsidRPr="00001E50">
        <w:rPr>
          <w:rFonts w:ascii="Arial" w:hAnsi="Arial" w:cs="Arial"/>
          <w:bCs/>
        </w:rPr>
        <w:t>eura</w:t>
      </w:r>
      <w:r w:rsidRPr="00001E50">
        <w:rPr>
          <w:rFonts w:ascii="Arial" w:hAnsi="Arial" w:cs="Arial"/>
        </w:rPr>
        <w:t xml:space="preserve"> u Proračunu Grada Rijeke za 2025. godinu, razdjel 107 Upravni odjel za zdravstvo, socijalnu zaštitu i unapređenje kvalitete života, Program Unapređenje kvalitete života – A115512 Populacijska mjera – sufinanciranje medicinski potpomognute oplodnje; PR04895 i PR07291 Naknade građanima i kućanstvima u novcu.</w:t>
      </w:r>
    </w:p>
    <w:p w:rsidR="007545B6" w:rsidRPr="00001E50" w:rsidRDefault="007545B6" w:rsidP="007545B6">
      <w:pPr>
        <w:pStyle w:val="Default"/>
        <w:jc w:val="both"/>
        <w:rPr>
          <w:sz w:val="22"/>
          <w:szCs w:val="22"/>
        </w:rPr>
      </w:pPr>
    </w:p>
    <w:p w:rsidR="007545B6" w:rsidRPr="00001E50" w:rsidRDefault="007545B6" w:rsidP="007545B6">
      <w:pPr>
        <w:pStyle w:val="Default"/>
        <w:jc w:val="both"/>
        <w:rPr>
          <w:sz w:val="22"/>
          <w:szCs w:val="22"/>
        </w:rPr>
      </w:pPr>
    </w:p>
    <w:p w:rsidR="007545B6" w:rsidRPr="00001E50" w:rsidRDefault="007545B6" w:rsidP="007545B6">
      <w:pPr>
        <w:pStyle w:val="Default"/>
        <w:jc w:val="both"/>
        <w:rPr>
          <w:sz w:val="22"/>
          <w:szCs w:val="22"/>
          <w:lang w:val="hr-HR"/>
        </w:rPr>
      </w:pPr>
    </w:p>
    <w:p w:rsidR="007545B6" w:rsidRPr="00001E50" w:rsidRDefault="007545B6" w:rsidP="00754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  <w:bookmarkStart w:id="2" w:name="_Hlk130910334"/>
      <w:r w:rsidRPr="00001E50">
        <w:rPr>
          <w:rFonts w:ascii="Arial" w:hAnsi="Arial" w:cs="Arial"/>
          <w:b/>
          <w:bCs/>
          <w:lang w:eastAsia="hr-HR"/>
        </w:rPr>
        <w:t>IV. Savjetovanje s javnošću</w:t>
      </w:r>
    </w:p>
    <w:p w:rsidR="007545B6" w:rsidRPr="00001E50" w:rsidRDefault="007545B6" w:rsidP="00754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</w:p>
    <w:bookmarkEnd w:id="2"/>
    <w:p w:rsidR="007545B6" w:rsidRPr="00001E50" w:rsidRDefault="007545B6" w:rsidP="007545B6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 w:rsidRPr="00001E50">
        <w:rPr>
          <w:rFonts w:ascii="Arial" w:hAnsi="Arial" w:cs="Arial"/>
        </w:rPr>
        <w:t>Kako se temeljem članka 11. Zakona o pravu na pristup informacijama („Narodne novine“ broj 25/13, 85/15 i 69/22) propisuje obveza jedinica lokalne samouprave da u svrhu savjetovanja s javnošću javno objave na internetskim stranicama nacrte općih akata kojima se uređuju pitanja od značenja za život građana/</w:t>
      </w:r>
      <w:proofErr w:type="spellStart"/>
      <w:r w:rsidRPr="00001E50">
        <w:rPr>
          <w:rFonts w:ascii="Arial" w:hAnsi="Arial" w:cs="Arial"/>
        </w:rPr>
        <w:t>ki</w:t>
      </w:r>
      <w:proofErr w:type="spellEnd"/>
      <w:r w:rsidRPr="00001E50">
        <w:rPr>
          <w:rFonts w:ascii="Arial" w:hAnsi="Arial" w:cs="Arial"/>
        </w:rPr>
        <w:t xml:space="preserve">, predviđeno je provođenje javnog savjetovanja za Nacrt prijedloga Odluke o sufinanciranju troškova postupka medicinski </w:t>
      </w:r>
      <w:proofErr w:type="spellStart"/>
      <w:r w:rsidRPr="00001E50">
        <w:rPr>
          <w:rFonts w:ascii="Arial" w:hAnsi="Arial" w:cs="Arial"/>
        </w:rPr>
        <w:t>pomognute</w:t>
      </w:r>
      <w:proofErr w:type="spellEnd"/>
      <w:r w:rsidRPr="00001E50">
        <w:rPr>
          <w:rFonts w:ascii="Arial" w:hAnsi="Arial" w:cs="Arial"/>
        </w:rPr>
        <w:t xml:space="preserve"> oplodnje, a što je u skladu s Planom savjetovanja s javnošću u 2024. godini.</w:t>
      </w:r>
    </w:p>
    <w:p w:rsidR="007545B6" w:rsidRPr="00001E50" w:rsidRDefault="007545B6" w:rsidP="007545B6">
      <w:pPr>
        <w:tabs>
          <w:tab w:val="left" w:pos="-2170"/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001E50">
        <w:rPr>
          <w:rFonts w:ascii="Arial" w:hAnsi="Arial" w:cs="Arial"/>
        </w:rPr>
        <w:tab/>
        <w:t xml:space="preserve">Obzirom na navedeno, Nacrt prijedloga Odluke o sufinanciranju troškova postupka medicinski </w:t>
      </w:r>
      <w:proofErr w:type="spellStart"/>
      <w:r w:rsidRPr="00001E50">
        <w:rPr>
          <w:rFonts w:ascii="Arial" w:hAnsi="Arial" w:cs="Arial"/>
        </w:rPr>
        <w:t>pomognute</w:t>
      </w:r>
      <w:proofErr w:type="spellEnd"/>
      <w:r w:rsidRPr="00001E50">
        <w:rPr>
          <w:rFonts w:ascii="Arial" w:hAnsi="Arial" w:cs="Arial"/>
        </w:rPr>
        <w:t xml:space="preserve"> oplodnje, objavit će se na mrežnim stranicama Grada Rijeke, </w:t>
      </w:r>
      <w:hyperlink r:id="rId13" w:history="1">
        <w:r w:rsidRPr="00001E50">
          <w:rPr>
            <w:rStyle w:val="Hyperlink"/>
            <w:rFonts w:ascii="Arial" w:hAnsi="Arial" w:cs="Arial"/>
          </w:rPr>
          <w:t>www.rijeka.hr</w:t>
        </w:r>
      </w:hyperlink>
      <w:r w:rsidRPr="00001E50">
        <w:rPr>
          <w:rFonts w:ascii="Arial" w:hAnsi="Arial" w:cs="Arial"/>
        </w:rPr>
        <w:t xml:space="preserve">, radi provedbe savjetovanja sa zainteresiranom javnošću u trajanju od 30 dana. Svrha javnog savjetovanja je dobivanje povratnih informacija od zainteresirane javnosti u svezi predloženog Nacrta prijedloga Odluke o sufinanciranju troškova postupka medicinski </w:t>
      </w:r>
      <w:proofErr w:type="spellStart"/>
      <w:r w:rsidRPr="00001E50">
        <w:rPr>
          <w:rFonts w:ascii="Arial" w:hAnsi="Arial" w:cs="Arial"/>
        </w:rPr>
        <w:t>pomognute</w:t>
      </w:r>
      <w:proofErr w:type="spellEnd"/>
      <w:r w:rsidRPr="00001E50">
        <w:rPr>
          <w:rFonts w:ascii="Arial" w:hAnsi="Arial" w:cs="Arial"/>
        </w:rPr>
        <w:t xml:space="preserve"> oplodnje.</w:t>
      </w:r>
      <w:bookmarkEnd w:id="1"/>
    </w:p>
    <w:sectPr w:rsidR="007545B6" w:rsidRPr="0000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6"/>
    <w:rsid w:val="00001465"/>
    <w:rsid w:val="00001E50"/>
    <w:rsid w:val="0000270F"/>
    <w:rsid w:val="000059D1"/>
    <w:rsid w:val="000112F9"/>
    <w:rsid w:val="000157D9"/>
    <w:rsid w:val="00017623"/>
    <w:rsid w:val="000255EB"/>
    <w:rsid w:val="000306AC"/>
    <w:rsid w:val="000405DA"/>
    <w:rsid w:val="00043446"/>
    <w:rsid w:val="00046DE5"/>
    <w:rsid w:val="0005467D"/>
    <w:rsid w:val="0005600D"/>
    <w:rsid w:val="00057CCE"/>
    <w:rsid w:val="000615C3"/>
    <w:rsid w:val="00070859"/>
    <w:rsid w:val="000753E7"/>
    <w:rsid w:val="00075F30"/>
    <w:rsid w:val="000764C2"/>
    <w:rsid w:val="00094D1B"/>
    <w:rsid w:val="000A1C06"/>
    <w:rsid w:val="000A2414"/>
    <w:rsid w:val="000A4F8F"/>
    <w:rsid w:val="000A6EA4"/>
    <w:rsid w:val="000A6FC8"/>
    <w:rsid w:val="000A7FCE"/>
    <w:rsid w:val="000B0474"/>
    <w:rsid w:val="000B1A41"/>
    <w:rsid w:val="000C5660"/>
    <w:rsid w:val="000D5C76"/>
    <w:rsid w:val="000E61F2"/>
    <w:rsid w:val="000E6704"/>
    <w:rsid w:val="000E7687"/>
    <w:rsid w:val="000E76E6"/>
    <w:rsid w:val="000F7094"/>
    <w:rsid w:val="0010157F"/>
    <w:rsid w:val="001015B4"/>
    <w:rsid w:val="001155D9"/>
    <w:rsid w:val="001339B4"/>
    <w:rsid w:val="00133CF8"/>
    <w:rsid w:val="00137552"/>
    <w:rsid w:val="00145437"/>
    <w:rsid w:val="001469B2"/>
    <w:rsid w:val="00150C4A"/>
    <w:rsid w:val="0015182C"/>
    <w:rsid w:val="0015279F"/>
    <w:rsid w:val="00152C43"/>
    <w:rsid w:val="00155330"/>
    <w:rsid w:val="00161082"/>
    <w:rsid w:val="00165F06"/>
    <w:rsid w:val="00177EEA"/>
    <w:rsid w:val="00187AF1"/>
    <w:rsid w:val="0019183B"/>
    <w:rsid w:val="001A05AF"/>
    <w:rsid w:val="001A1D26"/>
    <w:rsid w:val="001A4CB3"/>
    <w:rsid w:val="001B2438"/>
    <w:rsid w:val="001B416C"/>
    <w:rsid w:val="001C22D4"/>
    <w:rsid w:val="001C5C36"/>
    <w:rsid w:val="001C7C0F"/>
    <w:rsid w:val="001D6A30"/>
    <w:rsid w:val="001F25EF"/>
    <w:rsid w:val="001F3B99"/>
    <w:rsid w:val="001F6226"/>
    <w:rsid w:val="002049F7"/>
    <w:rsid w:val="00210C13"/>
    <w:rsid w:val="0021611F"/>
    <w:rsid w:val="002274CA"/>
    <w:rsid w:val="00230F71"/>
    <w:rsid w:val="002414EF"/>
    <w:rsid w:val="00247CDD"/>
    <w:rsid w:val="00255457"/>
    <w:rsid w:val="00270AA2"/>
    <w:rsid w:val="002712C4"/>
    <w:rsid w:val="00272845"/>
    <w:rsid w:val="00275EAB"/>
    <w:rsid w:val="00277790"/>
    <w:rsid w:val="0028258B"/>
    <w:rsid w:val="00290E58"/>
    <w:rsid w:val="00297470"/>
    <w:rsid w:val="002A5580"/>
    <w:rsid w:val="002A7C4E"/>
    <w:rsid w:val="002B008A"/>
    <w:rsid w:val="002B4F02"/>
    <w:rsid w:val="002B767D"/>
    <w:rsid w:val="002C458D"/>
    <w:rsid w:val="002D1407"/>
    <w:rsid w:val="002D2CC4"/>
    <w:rsid w:val="002D4DA1"/>
    <w:rsid w:val="002F3C8F"/>
    <w:rsid w:val="002F4DB2"/>
    <w:rsid w:val="002F7729"/>
    <w:rsid w:val="00301A3B"/>
    <w:rsid w:val="00303BB6"/>
    <w:rsid w:val="00306783"/>
    <w:rsid w:val="00306DBD"/>
    <w:rsid w:val="00311A36"/>
    <w:rsid w:val="003170E1"/>
    <w:rsid w:val="0031781B"/>
    <w:rsid w:val="00320000"/>
    <w:rsid w:val="00325FC4"/>
    <w:rsid w:val="00326140"/>
    <w:rsid w:val="00326F00"/>
    <w:rsid w:val="00327841"/>
    <w:rsid w:val="00336838"/>
    <w:rsid w:val="00342BB4"/>
    <w:rsid w:val="00343403"/>
    <w:rsid w:val="00345AD4"/>
    <w:rsid w:val="00346DA9"/>
    <w:rsid w:val="00346F97"/>
    <w:rsid w:val="00351BC7"/>
    <w:rsid w:val="003577FA"/>
    <w:rsid w:val="00360C9E"/>
    <w:rsid w:val="00364FC9"/>
    <w:rsid w:val="00366F14"/>
    <w:rsid w:val="00381880"/>
    <w:rsid w:val="00381E0C"/>
    <w:rsid w:val="00385F55"/>
    <w:rsid w:val="003952AC"/>
    <w:rsid w:val="00396019"/>
    <w:rsid w:val="003C19FA"/>
    <w:rsid w:val="003C6533"/>
    <w:rsid w:val="003E2CCC"/>
    <w:rsid w:val="003E48C2"/>
    <w:rsid w:val="003F03F3"/>
    <w:rsid w:val="003F0EB8"/>
    <w:rsid w:val="00405606"/>
    <w:rsid w:val="004110D3"/>
    <w:rsid w:val="00413331"/>
    <w:rsid w:val="00416530"/>
    <w:rsid w:val="00421924"/>
    <w:rsid w:val="0043101A"/>
    <w:rsid w:val="004320BE"/>
    <w:rsid w:val="00435B54"/>
    <w:rsid w:val="004417E0"/>
    <w:rsid w:val="00443CD2"/>
    <w:rsid w:val="00444D38"/>
    <w:rsid w:val="004550DB"/>
    <w:rsid w:val="00455B77"/>
    <w:rsid w:val="00461570"/>
    <w:rsid w:val="00462260"/>
    <w:rsid w:val="00462F67"/>
    <w:rsid w:val="00464936"/>
    <w:rsid w:val="0047079E"/>
    <w:rsid w:val="004805EF"/>
    <w:rsid w:val="0048282A"/>
    <w:rsid w:val="00486D8C"/>
    <w:rsid w:val="004901DA"/>
    <w:rsid w:val="0049073B"/>
    <w:rsid w:val="00494764"/>
    <w:rsid w:val="004A31E2"/>
    <w:rsid w:val="004A70C0"/>
    <w:rsid w:val="004B191D"/>
    <w:rsid w:val="004B2282"/>
    <w:rsid w:val="004C625D"/>
    <w:rsid w:val="004E713F"/>
    <w:rsid w:val="004E7678"/>
    <w:rsid w:val="004F1622"/>
    <w:rsid w:val="004F5330"/>
    <w:rsid w:val="00502A25"/>
    <w:rsid w:val="00503158"/>
    <w:rsid w:val="005042D4"/>
    <w:rsid w:val="00510EB5"/>
    <w:rsid w:val="005238EA"/>
    <w:rsid w:val="00526570"/>
    <w:rsid w:val="00526E32"/>
    <w:rsid w:val="005427C9"/>
    <w:rsid w:val="00542C5D"/>
    <w:rsid w:val="005576E8"/>
    <w:rsid w:val="00561E9B"/>
    <w:rsid w:val="00563D1A"/>
    <w:rsid w:val="00563F02"/>
    <w:rsid w:val="005731AC"/>
    <w:rsid w:val="00577264"/>
    <w:rsid w:val="00582130"/>
    <w:rsid w:val="005859E5"/>
    <w:rsid w:val="00587FFB"/>
    <w:rsid w:val="00593C8B"/>
    <w:rsid w:val="00595547"/>
    <w:rsid w:val="005955D5"/>
    <w:rsid w:val="00596B45"/>
    <w:rsid w:val="005B1954"/>
    <w:rsid w:val="005B7830"/>
    <w:rsid w:val="005E25B9"/>
    <w:rsid w:val="005E3E81"/>
    <w:rsid w:val="005E5890"/>
    <w:rsid w:val="005E6477"/>
    <w:rsid w:val="005F16F5"/>
    <w:rsid w:val="005F702A"/>
    <w:rsid w:val="006036E4"/>
    <w:rsid w:val="00610B39"/>
    <w:rsid w:val="00621077"/>
    <w:rsid w:val="006356CC"/>
    <w:rsid w:val="00641C5A"/>
    <w:rsid w:val="006420CB"/>
    <w:rsid w:val="00642A1A"/>
    <w:rsid w:val="00643844"/>
    <w:rsid w:val="00646BB8"/>
    <w:rsid w:val="00655CB9"/>
    <w:rsid w:val="00660D2E"/>
    <w:rsid w:val="00661B76"/>
    <w:rsid w:val="00663EFC"/>
    <w:rsid w:val="00665BCF"/>
    <w:rsid w:val="00675A72"/>
    <w:rsid w:val="00675F7F"/>
    <w:rsid w:val="00676101"/>
    <w:rsid w:val="0067784B"/>
    <w:rsid w:val="0067791D"/>
    <w:rsid w:val="00685135"/>
    <w:rsid w:val="00690185"/>
    <w:rsid w:val="006921A9"/>
    <w:rsid w:val="0069562C"/>
    <w:rsid w:val="00696584"/>
    <w:rsid w:val="006A41B7"/>
    <w:rsid w:val="006A750F"/>
    <w:rsid w:val="006B0B2A"/>
    <w:rsid w:val="006B0C29"/>
    <w:rsid w:val="006F1D36"/>
    <w:rsid w:val="006F35BA"/>
    <w:rsid w:val="006F404C"/>
    <w:rsid w:val="006F457E"/>
    <w:rsid w:val="006F68F9"/>
    <w:rsid w:val="00701656"/>
    <w:rsid w:val="007026C9"/>
    <w:rsid w:val="00703F4F"/>
    <w:rsid w:val="0071505A"/>
    <w:rsid w:val="00716132"/>
    <w:rsid w:val="00724B85"/>
    <w:rsid w:val="00731ADC"/>
    <w:rsid w:val="00743371"/>
    <w:rsid w:val="00752250"/>
    <w:rsid w:val="00752935"/>
    <w:rsid w:val="007535B3"/>
    <w:rsid w:val="007545B6"/>
    <w:rsid w:val="007558C4"/>
    <w:rsid w:val="00773B52"/>
    <w:rsid w:val="00776CB8"/>
    <w:rsid w:val="007A6480"/>
    <w:rsid w:val="007C23C8"/>
    <w:rsid w:val="007C4B0F"/>
    <w:rsid w:val="007F5A7B"/>
    <w:rsid w:val="007F7A9E"/>
    <w:rsid w:val="00803439"/>
    <w:rsid w:val="008079F2"/>
    <w:rsid w:val="00807E26"/>
    <w:rsid w:val="00811103"/>
    <w:rsid w:val="008138B0"/>
    <w:rsid w:val="00816A8B"/>
    <w:rsid w:val="0082222C"/>
    <w:rsid w:val="00822518"/>
    <w:rsid w:val="00830005"/>
    <w:rsid w:val="008306B1"/>
    <w:rsid w:val="00840846"/>
    <w:rsid w:val="008605ED"/>
    <w:rsid w:val="008829CF"/>
    <w:rsid w:val="00883554"/>
    <w:rsid w:val="00887561"/>
    <w:rsid w:val="008924B3"/>
    <w:rsid w:val="00892CB9"/>
    <w:rsid w:val="00894C6A"/>
    <w:rsid w:val="008A361E"/>
    <w:rsid w:val="008A5CED"/>
    <w:rsid w:val="008B0A78"/>
    <w:rsid w:val="008B4DF9"/>
    <w:rsid w:val="008D07FD"/>
    <w:rsid w:val="008D5FF1"/>
    <w:rsid w:val="008E25E1"/>
    <w:rsid w:val="008F1CFF"/>
    <w:rsid w:val="008F28AC"/>
    <w:rsid w:val="008F757A"/>
    <w:rsid w:val="00903852"/>
    <w:rsid w:val="009039C7"/>
    <w:rsid w:val="00907FAA"/>
    <w:rsid w:val="00914466"/>
    <w:rsid w:val="00922A10"/>
    <w:rsid w:val="009244DB"/>
    <w:rsid w:val="00926BEF"/>
    <w:rsid w:val="00935CC8"/>
    <w:rsid w:val="00940544"/>
    <w:rsid w:val="00941E5C"/>
    <w:rsid w:val="009552E3"/>
    <w:rsid w:val="00955732"/>
    <w:rsid w:val="0095707E"/>
    <w:rsid w:val="00960714"/>
    <w:rsid w:val="00962D47"/>
    <w:rsid w:val="009700F1"/>
    <w:rsid w:val="009779FA"/>
    <w:rsid w:val="00982C7A"/>
    <w:rsid w:val="009834B4"/>
    <w:rsid w:val="00991517"/>
    <w:rsid w:val="009925F1"/>
    <w:rsid w:val="009950EC"/>
    <w:rsid w:val="009A05DA"/>
    <w:rsid w:val="009A56B0"/>
    <w:rsid w:val="009A7348"/>
    <w:rsid w:val="009B28FE"/>
    <w:rsid w:val="009B7684"/>
    <w:rsid w:val="009C09E3"/>
    <w:rsid w:val="009C687F"/>
    <w:rsid w:val="009D2DE3"/>
    <w:rsid w:val="009D3D11"/>
    <w:rsid w:val="009D4F06"/>
    <w:rsid w:val="009D610E"/>
    <w:rsid w:val="009D75FC"/>
    <w:rsid w:val="009E1D9A"/>
    <w:rsid w:val="009E4B5C"/>
    <w:rsid w:val="009E58E7"/>
    <w:rsid w:val="009F024C"/>
    <w:rsid w:val="00A04B3D"/>
    <w:rsid w:val="00A12CDE"/>
    <w:rsid w:val="00A210A3"/>
    <w:rsid w:val="00A21C1C"/>
    <w:rsid w:val="00A23CA6"/>
    <w:rsid w:val="00A33C37"/>
    <w:rsid w:val="00A4225B"/>
    <w:rsid w:val="00A54B03"/>
    <w:rsid w:val="00A60CC9"/>
    <w:rsid w:val="00A61D9A"/>
    <w:rsid w:val="00A74BD5"/>
    <w:rsid w:val="00A82DEE"/>
    <w:rsid w:val="00A85E6D"/>
    <w:rsid w:val="00A90977"/>
    <w:rsid w:val="00AA467E"/>
    <w:rsid w:val="00AA7C74"/>
    <w:rsid w:val="00AA7DD6"/>
    <w:rsid w:val="00AB5563"/>
    <w:rsid w:val="00AB55E6"/>
    <w:rsid w:val="00AC2C2D"/>
    <w:rsid w:val="00AC643C"/>
    <w:rsid w:val="00AD28DE"/>
    <w:rsid w:val="00AD6E73"/>
    <w:rsid w:val="00B0519C"/>
    <w:rsid w:val="00B0740B"/>
    <w:rsid w:val="00B12505"/>
    <w:rsid w:val="00B15158"/>
    <w:rsid w:val="00B15B51"/>
    <w:rsid w:val="00B360C2"/>
    <w:rsid w:val="00B41B24"/>
    <w:rsid w:val="00B47117"/>
    <w:rsid w:val="00B47191"/>
    <w:rsid w:val="00B54F7B"/>
    <w:rsid w:val="00B60B22"/>
    <w:rsid w:val="00B60B2C"/>
    <w:rsid w:val="00B61DFE"/>
    <w:rsid w:val="00B85494"/>
    <w:rsid w:val="00B92C0F"/>
    <w:rsid w:val="00B96111"/>
    <w:rsid w:val="00BB1794"/>
    <w:rsid w:val="00BC0C63"/>
    <w:rsid w:val="00BC0F8A"/>
    <w:rsid w:val="00BC1ADF"/>
    <w:rsid w:val="00BD0BBC"/>
    <w:rsid w:val="00BD125C"/>
    <w:rsid w:val="00BD3984"/>
    <w:rsid w:val="00BE17F2"/>
    <w:rsid w:val="00BE1A51"/>
    <w:rsid w:val="00BE6CE7"/>
    <w:rsid w:val="00BE7FC6"/>
    <w:rsid w:val="00BF48F0"/>
    <w:rsid w:val="00C00851"/>
    <w:rsid w:val="00C05E22"/>
    <w:rsid w:val="00C10295"/>
    <w:rsid w:val="00C13028"/>
    <w:rsid w:val="00C21675"/>
    <w:rsid w:val="00C26682"/>
    <w:rsid w:val="00C40984"/>
    <w:rsid w:val="00C44BA3"/>
    <w:rsid w:val="00C5710D"/>
    <w:rsid w:val="00C6283F"/>
    <w:rsid w:val="00C62BDC"/>
    <w:rsid w:val="00C64D68"/>
    <w:rsid w:val="00C7086E"/>
    <w:rsid w:val="00C7420F"/>
    <w:rsid w:val="00C80353"/>
    <w:rsid w:val="00C81248"/>
    <w:rsid w:val="00C85C8B"/>
    <w:rsid w:val="00C860BE"/>
    <w:rsid w:val="00C91F77"/>
    <w:rsid w:val="00C93666"/>
    <w:rsid w:val="00C94E80"/>
    <w:rsid w:val="00C955CC"/>
    <w:rsid w:val="00CA0B36"/>
    <w:rsid w:val="00CA59A0"/>
    <w:rsid w:val="00CB0410"/>
    <w:rsid w:val="00CB2682"/>
    <w:rsid w:val="00CB382F"/>
    <w:rsid w:val="00CB528C"/>
    <w:rsid w:val="00CB6B61"/>
    <w:rsid w:val="00CC3B8A"/>
    <w:rsid w:val="00CD42EF"/>
    <w:rsid w:val="00CD5292"/>
    <w:rsid w:val="00CD5854"/>
    <w:rsid w:val="00CD633B"/>
    <w:rsid w:val="00CD6E1C"/>
    <w:rsid w:val="00CD7347"/>
    <w:rsid w:val="00CE182D"/>
    <w:rsid w:val="00CE40E1"/>
    <w:rsid w:val="00CE510A"/>
    <w:rsid w:val="00CE7086"/>
    <w:rsid w:val="00D02582"/>
    <w:rsid w:val="00D02709"/>
    <w:rsid w:val="00D02E77"/>
    <w:rsid w:val="00D033C2"/>
    <w:rsid w:val="00D0594B"/>
    <w:rsid w:val="00D16ECE"/>
    <w:rsid w:val="00D31229"/>
    <w:rsid w:val="00D47751"/>
    <w:rsid w:val="00D50C23"/>
    <w:rsid w:val="00D52C0C"/>
    <w:rsid w:val="00D60F27"/>
    <w:rsid w:val="00D75267"/>
    <w:rsid w:val="00D801B3"/>
    <w:rsid w:val="00D8020D"/>
    <w:rsid w:val="00D82D02"/>
    <w:rsid w:val="00DA1BD5"/>
    <w:rsid w:val="00DA7A57"/>
    <w:rsid w:val="00DC4F41"/>
    <w:rsid w:val="00DE44A0"/>
    <w:rsid w:val="00E01082"/>
    <w:rsid w:val="00E01885"/>
    <w:rsid w:val="00E07114"/>
    <w:rsid w:val="00E13742"/>
    <w:rsid w:val="00E30E5B"/>
    <w:rsid w:val="00E42BE5"/>
    <w:rsid w:val="00E43719"/>
    <w:rsid w:val="00E5737C"/>
    <w:rsid w:val="00E61768"/>
    <w:rsid w:val="00E6267A"/>
    <w:rsid w:val="00E63C21"/>
    <w:rsid w:val="00E6743A"/>
    <w:rsid w:val="00E77F8B"/>
    <w:rsid w:val="00E85F36"/>
    <w:rsid w:val="00E906FD"/>
    <w:rsid w:val="00E960AE"/>
    <w:rsid w:val="00E97E78"/>
    <w:rsid w:val="00EA451B"/>
    <w:rsid w:val="00EB368B"/>
    <w:rsid w:val="00EB4B9C"/>
    <w:rsid w:val="00EB6E77"/>
    <w:rsid w:val="00EC2D36"/>
    <w:rsid w:val="00EC7533"/>
    <w:rsid w:val="00ED0155"/>
    <w:rsid w:val="00ED2EF3"/>
    <w:rsid w:val="00ED59EA"/>
    <w:rsid w:val="00EE0923"/>
    <w:rsid w:val="00EE1616"/>
    <w:rsid w:val="00EE7925"/>
    <w:rsid w:val="00EF4733"/>
    <w:rsid w:val="00EF6276"/>
    <w:rsid w:val="00F026BA"/>
    <w:rsid w:val="00F06D75"/>
    <w:rsid w:val="00F134CB"/>
    <w:rsid w:val="00F1572F"/>
    <w:rsid w:val="00F16E59"/>
    <w:rsid w:val="00F175BE"/>
    <w:rsid w:val="00F31D5E"/>
    <w:rsid w:val="00F31DBD"/>
    <w:rsid w:val="00F33229"/>
    <w:rsid w:val="00F406C4"/>
    <w:rsid w:val="00F42E17"/>
    <w:rsid w:val="00F4491E"/>
    <w:rsid w:val="00F5435D"/>
    <w:rsid w:val="00F707C0"/>
    <w:rsid w:val="00F7510F"/>
    <w:rsid w:val="00F7718B"/>
    <w:rsid w:val="00F84D5A"/>
    <w:rsid w:val="00F91CF9"/>
    <w:rsid w:val="00F9601E"/>
    <w:rsid w:val="00FA0CDC"/>
    <w:rsid w:val="00FB754A"/>
    <w:rsid w:val="00FC6631"/>
    <w:rsid w:val="00FC77EB"/>
    <w:rsid w:val="00FD0FC5"/>
    <w:rsid w:val="00FD65CA"/>
    <w:rsid w:val="00FD7ABA"/>
    <w:rsid w:val="00FE66A7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59D5-A198-4D59-8FFE-8D2CF37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B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7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545B6"/>
    <w:rPr>
      <w:color w:val="0000FF"/>
      <w:u w:val="single"/>
    </w:rPr>
  </w:style>
  <w:style w:type="table" w:styleId="TableGrid">
    <w:name w:val="Table Grid"/>
    <w:basedOn w:val="TableNormal"/>
    <w:uiPriority w:val="39"/>
    <w:rsid w:val="007545B6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ci.dzs.hr/2024/hr/76800" TargetMode="External"/><Relationship Id="rId13" Type="http://schemas.openxmlformats.org/officeDocument/2006/relationships/hyperlink" Target="http://www.rijek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aci.dzs.hr" TargetMode="External"/><Relationship Id="rId12" Type="http://schemas.openxmlformats.org/officeDocument/2006/relationships/hyperlink" Target="http://www.rijek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aci.dzs.hr/2024/hr/76800" TargetMode="External"/><Relationship Id="rId11" Type="http://schemas.openxmlformats.org/officeDocument/2006/relationships/hyperlink" Target="https://narodne-novine.nn.hr/clanci/sluzbeni/2024_03_36_580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24_03_36_580.html" TargetMode="External"/><Relationship Id="rId4" Type="http://schemas.openxmlformats.org/officeDocument/2006/relationships/hyperlink" Target="http://www.dzs.hr" TargetMode="External"/><Relationship Id="rId9" Type="http://schemas.openxmlformats.org/officeDocument/2006/relationships/hyperlink" Target="https://podaci.dzs.hr/2023/hr/580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5</cp:revision>
  <dcterms:created xsi:type="dcterms:W3CDTF">2024-10-23T08:37:00Z</dcterms:created>
  <dcterms:modified xsi:type="dcterms:W3CDTF">2024-10-23T08:38:00Z</dcterms:modified>
</cp:coreProperties>
</file>