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ED7" w:rsidRPr="009B6FCF" w:rsidRDefault="00B23ED7" w:rsidP="00B23ED7">
      <w:pPr>
        <w:tabs>
          <w:tab w:val="left" w:pos="709"/>
        </w:tabs>
        <w:jc w:val="both"/>
        <w:rPr>
          <w:rFonts w:cs="Arial"/>
        </w:rPr>
      </w:pPr>
      <w:r w:rsidRPr="009B6FCF">
        <w:rPr>
          <w:rFonts w:cs="Arial"/>
        </w:rPr>
        <w:tab/>
        <w:t xml:space="preserve">Na temelju članka 17. stavka 1. podstavka 1. Zakona o sustavu civilne zaštite ("Narodne novine" broj 82/15, </w:t>
      </w:r>
      <w:r w:rsidRPr="009B6FCF">
        <w:rPr>
          <w:szCs w:val="22"/>
        </w:rPr>
        <w:t>118/18, 31/20, 20/21 i 114/22</w:t>
      </w:r>
      <w:r w:rsidRPr="009B6FCF">
        <w:rPr>
          <w:rFonts w:cs="Arial"/>
        </w:rPr>
        <w:t xml:space="preserve">), Pravilnika o nositeljima, sadržaju i postupcima izrade planskih dokumenata u civilnoj zaštiti te načinu informiranja javnosti o postupku njihovog donošenja („Narodne novine“ broj 66/21) i </w:t>
      </w:r>
      <w:r w:rsidRPr="009B6FCF">
        <w:rPr>
          <w:szCs w:val="22"/>
        </w:rPr>
        <w:t>članka 46. Statuta Grada Rijeke ("Službene novine Primorsko-goranske županije" broj 24/09, 11/10 i 5/13 i "Službene novine Grada Rijeke" broj 7/14, 12/17, 9/18 i 11/18 – pročišćeni tekst, 2/20, 3/21 i 4/25)</w:t>
      </w:r>
      <w:r w:rsidRPr="009B6FCF">
        <w:rPr>
          <w:rFonts w:cs="Arial"/>
        </w:rPr>
        <w:t>, Gradsko vijeće Grada Rijeke, na sjednici ___________ 2025. godine donijelo je</w:t>
      </w:r>
    </w:p>
    <w:p w:rsidR="00B23ED7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</w:p>
    <w:p w:rsidR="00FC1777" w:rsidRPr="009B6FCF" w:rsidRDefault="00FC177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center"/>
        <w:rPr>
          <w:b/>
          <w:bCs/>
          <w:color w:val="auto"/>
          <w:sz w:val="22"/>
          <w:szCs w:val="22"/>
        </w:rPr>
      </w:pPr>
      <w:r w:rsidRPr="009B6FCF">
        <w:rPr>
          <w:b/>
          <w:bCs/>
          <w:color w:val="auto"/>
          <w:sz w:val="22"/>
          <w:szCs w:val="22"/>
        </w:rPr>
        <w:t>S M J E R N I C E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center"/>
        <w:rPr>
          <w:b/>
          <w:bCs/>
          <w:color w:val="auto"/>
          <w:sz w:val="22"/>
          <w:szCs w:val="22"/>
        </w:rPr>
      </w:pPr>
      <w:r w:rsidRPr="009B6FCF">
        <w:rPr>
          <w:b/>
          <w:bCs/>
          <w:color w:val="auto"/>
          <w:sz w:val="22"/>
          <w:szCs w:val="22"/>
        </w:rPr>
        <w:t>za organizaciju i razvoj sustava civilne zaštite na području grada Rijeke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center"/>
        <w:rPr>
          <w:b/>
          <w:bCs/>
          <w:color w:val="auto"/>
          <w:sz w:val="22"/>
          <w:szCs w:val="22"/>
        </w:rPr>
      </w:pPr>
      <w:r w:rsidRPr="009B6FCF">
        <w:rPr>
          <w:b/>
          <w:bCs/>
          <w:color w:val="auto"/>
          <w:sz w:val="22"/>
          <w:szCs w:val="22"/>
        </w:rPr>
        <w:t>za razdoblje 2025. - 2028. godine</w:t>
      </w:r>
    </w:p>
    <w:p w:rsidR="00B23ED7" w:rsidRDefault="00B23ED7" w:rsidP="00B23ED7">
      <w:pPr>
        <w:tabs>
          <w:tab w:val="left" w:pos="709"/>
        </w:tabs>
        <w:jc w:val="both"/>
        <w:rPr>
          <w:rFonts w:cs="Arial"/>
          <w:b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1. </w:t>
      </w:r>
      <w:r w:rsidRPr="009B6FCF">
        <w:rPr>
          <w:b/>
          <w:color w:val="auto"/>
          <w:sz w:val="22"/>
          <w:szCs w:val="22"/>
        </w:rPr>
        <w:t>UVOD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Smjernicama za organizaciju i razvoj sustava civilne zaštite na području Grada Rijeke za razdoblje 2025. – 2028. godine (u daljnjem tekstu: Smjernice) uređuju se prioriteti Grada Rijeke na području civilne zaštite.</w:t>
      </w:r>
    </w:p>
    <w:p w:rsidR="00B23ED7" w:rsidRPr="009B6FCF" w:rsidRDefault="00B23ED7" w:rsidP="00B23ED7">
      <w:pPr>
        <w:autoSpaceDE w:val="0"/>
        <w:autoSpaceDN w:val="0"/>
        <w:adjustRightInd w:val="0"/>
        <w:ind w:firstLine="709"/>
        <w:jc w:val="both"/>
        <w:rPr>
          <w:rFonts w:cs="Arial"/>
          <w:szCs w:val="22"/>
        </w:rPr>
      </w:pPr>
      <w:r w:rsidRPr="009B6FCF">
        <w:rPr>
          <w:rFonts w:cs="Arial"/>
          <w:szCs w:val="22"/>
        </w:rPr>
        <w:t xml:space="preserve">Grad Rijeka ima za cilj uspostaviti učinkovit sustav civilne zaštite u velikim nesrećama ili katastrofama. </w:t>
      </w:r>
    </w:p>
    <w:p w:rsidR="00B23ED7" w:rsidRPr="009B6FCF" w:rsidRDefault="00B23ED7" w:rsidP="00B23ED7">
      <w:pPr>
        <w:autoSpaceDE w:val="0"/>
        <w:autoSpaceDN w:val="0"/>
        <w:adjustRightInd w:val="0"/>
        <w:ind w:firstLine="709"/>
        <w:jc w:val="both"/>
        <w:rPr>
          <w:rFonts w:cs="Arial"/>
          <w:szCs w:val="22"/>
        </w:rPr>
      </w:pPr>
      <w:r w:rsidRPr="009B6FCF">
        <w:rPr>
          <w:rFonts w:cs="Arial"/>
          <w:szCs w:val="22"/>
        </w:rPr>
        <w:t xml:space="preserve">Uspostava, razvoj i unapređenje sustava civilne zaštite jest proces koji zahtijeva znatna financijska sredstva, pa će stoga dinamika organizacije, razvoja i unapređenja civilne zaštite u Gradu Rijeci biti uvjetovana objektivnim </w:t>
      </w:r>
      <w:r w:rsidRPr="009B6FCF">
        <w:rPr>
          <w:szCs w:val="22"/>
        </w:rPr>
        <w:t>proračunskim</w:t>
      </w:r>
      <w:r w:rsidRPr="009B6FCF">
        <w:rPr>
          <w:rFonts w:cs="Arial"/>
          <w:szCs w:val="22"/>
        </w:rPr>
        <w:t xml:space="preserve"> mogućnostima, ali i drugim preduvjetima za provedbu pravodobnih i učinkovitih mjera svih sudionika civilne zaštite.</w:t>
      </w:r>
    </w:p>
    <w:p w:rsidR="00B23ED7" w:rsidRPr="009B6FCF" w:rsidRDefault="00B23ED7" w:rsidP="00B23ED7">
      <w:pPr>
        <w:autoSpaceDE w:val="0"/>
        <w:autoSpaceDN w:val="0"/>
        <w:adjustRightInd w:val="0"/>
        <w:ind w:firstLine="709"/>
        <w:jc w:val="both"/>
        <w:rPr>
          <w:rFonts w:cs="Arial"/>
          <w:szCs w:val="22"/>
        </w:rPr>
      </w:pPr>
    </w:p>
    <w:p w:rsidR="00B23ED7" w:rsidRPr="009B6FCF" w:rsidRDefault="00B23ED7" w:rsidP="00B23ED7">
      <w:pPr>
        <w:autoSpaceDE w:val="0"/>
        <w:autoSpaceDN w:val="0"/>
        <w:adjustRightInd w:val="0"/>
        <w:ind w:firstLine="709"/>
        <w:jc w:val="both"/>
        <w:rPr>
          <w:rFonts w:cs="Arial"/>
          <w:szCs w:val="22"/>
        </w:rPr>
      </w:pPr>
      <w:r w:rsidRPr="009B6FCF">
        <w:rPr>
          <w:rFonts w:cs="Arial"/>
          <w:szCs w:val="22"/>
        </w:rPr>
        <w:t>Planske aktivnosti u sustavu civilne zaštite koje je potrebno provesti u narednom razdoblju:</w:t>
      </w:r>
    </w:p>
    <w:p w:rsidR="00B23ED7" w:rsidRPr="009B6FCF" w:rsidRDefault="00B23ED7" w:rsidP="00B23ED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Cs w:val="22"/>
        </w:rPr>
      </w:pPr>
      <w:r w:rsidRPr="009B6FCF">
        <w:rPr>
          <w:rFonts w:cs="Arial"/>
          <w:szCs w:val="22"/>
        </w:rPr>
        <w:t>usklađivanje općih akata iz područja civilne zaštite sa Zakonom o sustavu civilne zaštite,</w:t>
      </w:r>
    </w:p>
    <w:p w:rsidR="00B23ED7" w:rsidRPr="009B6FCF" w:rsidRDefault="00B23ED7" w:rsidP="00B23ED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Cs w:val="22"/>
        </w:rPr>
      </w:pPr>
      <w:r w:rsidRPr="009B6FCF">
        <w:rPr>
          <w:rFonts w:cs="Arial"/>
          <w:szCs w:val="22"/>
        </w:rPr>
        <w:t>donošenje nove Procjene rizika od velikih nesreća za područje grada Rijeke,</w:t>
      </w:r>
    </w:p>
    <w:p w:rsidR="00B23ED7" w:rsidRPr="009B6FCF" w:rsidRDefault="00B23ED7" w:rsidP="00B23ED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Cs w:val="22"/>
        </w:rPr>
      </w:pPr>
      <w:r w:rsidRPr="009B6FCF">
        <w:rPr>
          <w:rFonts w:cs="Arial"/>
          <w:szCs w:val="22"/>
        </w:rPr>
        <w:t>donošenje novog Plana djelovanja civilne zaštite Grada Rijeke,</w:t>
      </w:r>
    </w:p>
    <w:p w:rsidR="00B23ED7" w:rsidRPr="009B6FCF" w:rsidRDefault="00B23ED7" w:rsidP="00B23ED7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cs="Arial"/>
          <w:szCs w:val="22"/>
        </w:rPr>
      </w:pPr>
      <w:r w:rsidRPr="009B6FCF">
        <w:rPr>
          <w:rFonts w:cs="Arial"/>
          <w:szCs w:val="22"/>
        </w:rPr>
        <w:t xml:space="preserve">donošenje nove Odluke o određivanju pravnih osoba od interesa za sustav civilne zaštite. </w:t>
      </w:r>
    </w:p>
    <w:p w:rsidR="00B23ED7" w:rsidRPr="009B6FCF" w:rsidRDefault="00B23ED7" w:rsidP="00B23ED7">
      <w:pPr>
        <w:autoSpaceDE w:val="0"/>
        <w:autoSpaceDN w:val="0"/>
        <w:adjustRightInd w:val="0"/>
        <w:ind w:firstLine="709"/>
        <w:jc w:val="both"/>
        <w:rPr>
          <w:rFonts w:cs="Arial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 xml:space="preserve">Sukladno procijenjenoj opasnosti i očekivanim posljedicama nesreća, velikih nesreća i katastrofa utvrđenih Procjenom rizika od velikih nesreća za područje grada Rijeke, a u cilju zaštite i spašavanja ljudi, materijalnih dobara te okoliša kao i ravnomjernog razvoja svih nositelja sustava civilne zaštite (stožer civilne zaštite, postrojbe civilne zaštite, vatrogasne postrojbe, udruge građana od značaja za sustav civilne zaštite, službe i pravne osobe koje se zaštitom i spašavanjem bave u okviru redovne djelatnosti) potrebno je donijeti Smjernice za organizaciju i razvoj sustava civilne zaštite </w:t>
      </w:r>
      <w:r w:rsidRPr="009B6FCF">
        <w:rPr>
          <w:bCs/>
          <w:color w:val="auto"/>
          <w:sz w:val="22"/>
          <w:szCs w:val="22"/>
        </w:rPr>
        <w:t xml:space="preserve">za razdoblje </w:t>
      </w:r>
      <w:r w:rsidRPr="009B6FCF">
        <w:rPr>
          <w:color w:val="auto"/>
          <w:sz w:val="22"/>
          <w:szCs w:val="22"/>
        </w:rPr>
        <w:t xml:space="preserve">2025. - 2028. godine.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sz w:val="22"/>
          <w:szCs w:val="22"/>
        </w:rPr>
      </w:pPr>
    </w:p>
    <w:p w:rsidR="00B23ED7" w:rsidRPr="009B6FCF" w:rsidRDefault="00B23ED7" w:rsidP="00B23ED7">
      <w:pPr>
        <w:pStyle w:val="Default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>Smjernice se odnose na sljedeće:</w:t>
      </w:r>
    </w:p>
    <w:p w:rsidR="00B23ED7" w:rsidRPr="009B6FCF" w:rsidRDefault="00B23ED7" w:rsidP="00B23ED7">
      <w:pPr>
        <w:pStyle w:val="Default"/>
        <w:tabs>
          <w:tab w:val="left" w:pos="709"/>
        </w:tabs>
        <w:jc w:val="both"/>
        <w:rPr>
          <w:color w:val="auto"/>
        </w:rPr>
      </w:pP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 w:rsidRPr="009B6FCF">
        <w:rPr>
          <w:rFonts w:cs="Arial"/>
          <w:b/>
          <w:sz w:val="22"/>
          <w:szCs w:val="22"/>
        </w:rPr>
        <w:t>STOŽER CIVILNE ZASTITE</w:t>
      </w:r>
      <w:r w:rsidRPr="009B6FCF">
        <w:rPr>
          <w:rFonts w:cs="Arial"/>
          <w:sz w:val="22"/>
          <w:szCs w:val="22"/>
        </w:rPr>
        <w:t xml:space="preserve">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sz w:val="22"/>
          <w:szCs w:val="22"/>
        </w:rPr>
      </w:pPr>
      <w:r w:rsidRPr="009B6FCF">
        <w:rPr>
          <w:sz w:val="22"/>
          <w:szCs w:val="22"/>
        </w:rPr>
        <w:tab/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 xml:space="preserve">Stožer civilne zaštite je stručno, operativno i koordinativno tijelo za provođenje mjera i aktivnosti civilne zaštite u velikim nesrećama i katastrofama, a imenuje ga gradonačelnik. </w:t>
      </w:r>
    </w:p>
    <w:p w:rsidR="00B23ED7" w:rsidRPr="009B6FCF" w:rsidRDefault="00B23ED7" w:rsidP="00B23ED7">
      <w:pPr>
        <w:pStyle w:val="NoSpacing"/>
        <w:ind w:firstLine="709"/>
        <w:jc w:val="both"/>
        <w:rPr>
          <w:rFonts w:ascii="Arial" w:hAnsi="Arial" w:cs="Arial"/>
          <w:lang w:val="hr-HR"/>
        </w:rPr>
      </w:pPr>
      <w:r w:rsidRPr="009B6FCF">
        <w:rPr>
          <w:rFonts w:ascii="Arial" w:hAnsi="Arial" w:cs="Arial"/>
          <w:lang w:val="hr-HR"/>
        </w:rPr>
        <w:t xml:space="preserve">Stožer obavlja poslove prikupljanja informacija, ranog upozoravanja o mogućnosti nastanka velike nesreće i katastrofe, razvija Plan djelovanja civilne zaštite Grada Rijeke, upravlja reagiranjem sustava civilne zaštite, obavlja poslove informiranja javnosti te predlaže donošenje odluke o prestanku provođenja mjera i aktivnosti u sustavu civilne zaštite. </w:t>
      </w:r>
    </w:p>
    <w:p w:rsidR="00B23ED7" w:rsidRPr="009B6FCF" w:rsidRDefault="00B23ED7" w:rsidP="00B23ED7">
      <w:pPr>
        <w:pStyle w:val="NoSpacing"/>
        <w:ind w:firstLine="709"/>
        <w:jc w:val="both"/>
        <w:rPr>
          <w:rFonts w:ascii="Arial" w:hAnsi="Arial" w:cs="Arial"/>
          <w:lang w:val="hr-HR"/>
        </w:rPr>
      </w:pPr>
      <w:r w:rsidRPr="009B6FCF">
        <w:rPr>
          <w:rFonts w:ascii="Arial" w:hAnsi="Arial" w:cs="Arial"/>
          <w:lang w:val="hr-HR"/>
        </w:rPr>
        <w:t>Stožer civilne zaštite će, u slučaju ugroze bilo koje vrste koja prijeti nastankom velike nesreće, poduzimati sve potrebne mjere kako bi se zaštitili životi i zdravlje stanovništva, imovina i okoliš.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 xml:space="preserve">Temeljem Zakona o sustavu civilne zaštite, nakon provedenih lokalnih izbora, u roku od godine dana od imenovanja Stožera, članovi Stožera moraju proći osposobljavanje koje provodi </w:t>
      </w:r>
      <w:r w:rsidRPr="009B6FCF">
        <w:rPr>
          <w:color w:val="auto"/>
          <w:sz w:val="22"/>
          <w:szCs w:val="22"/>
        </w:rPr>
        <w:lastRenderedPageBreak/>
        <w:t>Ravnateljstvo civilne zaštite prema Programu osposobljavanja članova stožera civilne zaštite koji donosi ministar unutarnjih poslova.</w:t>
      </w:r>
    </w:p>
    <w:p w:rsidR="00B23ED7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Tijekom mandatnog razdoblja potrebno je raditi na kontinuiranoj edukaciji i provođenju tematskih sjednica Stožera na kojima bi se uvježbavali scenariji prepoznati Procjenom rizika od velikih nesreća za područje grada Rijeke.</w:t>
      </w:r>
    </w:p>
    <w:p w:rsidR="00FC1777" w:rsidRDefault="00FC177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  <w:tab w:val="left" w:pos="1843"/>
        </w:tabs>
        <w:ind w:right="-86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3. </w:t>
      </w:r>
      <w:r w:rsidRPr="009B6FCF">
        <w:rPr>
          <w:b/>
          <w:color w:val="auto"/>
          <w:sz w:val="22"/>
          <w:szCs w:val="22"/>
        </w:rPr>
        <w:t>POSTROJBE CIVILNE ZAŠTITE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Cs/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Na području grada Rijeke ustrojene su dvije postrojbe civilne zaštite – postrojba civilne zaštite opće namjene 2009. godine i postrojba civilne zaštite za spašavanje iz ruševina (ustrojena 2010. godine.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U narednom razdoblju potrebno je uskladiti postojeće odluke o ustrojavanju postrojbi civilne zaštite sa Zakonom o sustavu civilne zaštite i Uredbom o sastavu i strukturi postrojbi civilne zaštite („Narodne novine“ broj 27/17) i donijeti Odluku o ustrojavanju Postrojbe civilne zaštite opće namjene i Specijalističke postrojbe za traganje i spašavanje u ruševinama.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U narednom razdoblju potrebno je nastaviti s kontinuiranom edukacijom i osposobljavanjem pripadnika postrojbi civilne zaštite kroz vježbe i radionice, kao i provesti popunu postrojbi javnim pozivima građanima na uključivanje u postrojbe civilne zaštite.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 xml:space="preserve">S obzirom na najavljeno ponovno uvođenje obveznog služenja vojnog roka potrebno je definirati način postupanja i prikupljanja evidencija obveznika koji su izrazili priziv savjesti kako bi se i na taj način provela, makar i djelomična, popuna postrojbi civilne zaštite. 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 xml:space="preserve">Nadalje, potrebno je nastaviti s kontinuiranom popunom postrojbi osobnom i skupnom opremom u skladu s iskazanim potrebama na osposobljavanjima i vježbama.  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 xml:space="preserve">Kroz takve aktivnosti povećavat će se mogućnosti osiguravanja uvjeta za učinkovito provođenje mjera civilne zaštite te drugih aktivnosti iz područja civilne zaštite, sukladno Planu djelovanja civilne zaštite Grada Rijeke. 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Cs/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4. </w:t>
      </w:r>
      <w:r w:rsidRPr="009B6FCF">
        <w:rPr>
          <w:b/>
          <w:bCs/>
          <w:color w:val="auto"/>
          <w:sz w:val="22"/>
          <w:szCs w:val="22"/>
        </w:rPr>
        <w:t>POVJERENICI CIVILNE ZAŠTITE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S obzirom da je brojčana i dobna struktura dosadašnjih povjerenika civilne zaštite postala nepovoljna, od vijeća mjesnih odbora potrebno je zatražiti prijedloge novih povjerenika civilne zaštite.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Zadaće povjerenika civilne zaštite su pripremanje građana za osobnu i uzajamnu zaštitu, davanje obavijesti građanima o pravodobnom poduzimanju mjera civilne zaštite, sudjelovanje u organiziranju i provođenju mjere sklanjanja, evakuacije i zbrinjavanja i drugih mjera civilne zaštite, organiziranje zaštite i spašavanja pripadnika ranjivih skupina te obavljanje ostalih poslova i zadaća prema nalozima Stožera.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>Nakon imenovanja novih povjerenika, potrebno je provoditi njihovo kontinuirano osposobljavanje i edukaciju, ali i raditi na dodatnom stimuliranju za obavljanje dužnosti povjerenika civilne zaštite.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Cs/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5. </w:t>
      </w:r>
      <w:r w:rsidRPr="009B6FCF">
        <w:rPr>
          <w:b/>
          <w:bCs/>
          <w:color w:val="auto"/>
          <w:sz w:val="22"/>
          <w:szCs w:val="22"/>
        </w:rPr>
        <w:t xml:space="preserve">VATROGASTVO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sz w:val="22"/>
          <w:szCs w:val="22"/>
        </w:rPr>
      </w:pP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sz w:val="22"/>
          <w:szCs w:val="22"/>
        </w:rPr>
      </w:pPr>
      <w:r w:rsidRPr="009B6FCF">
        <w:rPr>
          <w:rFonts w:cs="Arial"/>
          <w:sz w:val="22"/>
          <w:szCs w:val="22"/>
        </w:rPr>
        <w:tab/>
        <w:t xml:space="preserve">Na području grada Rijeke djeluju Javna vatrogasna postrojba Grada Rijeke, Dobrovoljna vatrogasna društva Sušak-Rijeka i Drenova, kao i profesionalne vatrogasne postrojbe u gospodarstvu Luke Rijeka d.d. i 3. MAJ Brodogradilište d.d. Rijeka.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sz w:val="22"/>
          <w:szCs w:val="22"/>
        </w:rPr>
      </w:pPr>
      <w:r w:rsidRPr="009B6FCF">
        <w:rPr>
          <w:rFonts w:cs="Arial"/>
          <w:sz w:val="22"/>
          <w:szCs w:val="22"/>
        </w:rPr>
        <w:tab/>
        <w:t>Sve navedene postrojbe udružene su u Gradsku vatrogasnu zajednicu Rijeka.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sz w:val="22"/>
          <w:szCs w:val="22"/>
        </w:rPr>
      </w:pPr>
      <w:r w:rsidRPr="009B6FCF">
        <w:rPr>
          <w:rFonts w:cs="Arial"/>
          <w:sz w:val="22"/>
          <w:szCs w:val="22"/>
        </w:rPr>
        <w:tab/>
        <w:t>Operativne snage vatrogastva temeljna su operativna snaga sustava civilne zaštite.</w:t>
      </w:r>
    </w:p>
    <w:p w:rsidR="00B23ED7" w:rsidRPr="009B6FCF" w:rsidRDefault="00B23ED7" w:rsidP="00B23ED7">
      <w:pPr>
        <w:pStyle w:val="NoSpacing"/>
        <w:jc w:val="both"/>
        <w:rPr>
          <w:rFonts w:ascii="Arial" w:hAnsi="Arial" w:cs="Arial"/>
          <w:lang w:val="hr-HR"/>
        </w:rPr>
      </w:pPr>
      <w:r w:rsidRPr="009B6FCF">
        <w:rPr>
          <w:rFonts w:ascii="Arial" w:hAnsi="Arial" w:cs="Arial"/>
          <w:lang w:val="hr-HR"/>
        </w:rPr>
        <w:tab/>
        <w:t>U narednom razdoblju od vatrogastva na području grada Rijeke očekuje se provedba svih vatrogasnih intervencija, provođenje preventivnih mjera zaštite od požara; aktivno djelovanje u sustavu civilne zaštite; nabava nedostajuće vatrogasne opreme, osposobljavanje vatrogasnih kadrova, sudjelovanje u izradi planskih dokumenata sustava civilne zaštite; organizacija vježbi, seminara i stručnih radionica za građanstvo.</w:t>
      </w: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Cs/>
          <w:color w:val="auto"/>
          <w:sz w:val="22"/>
          <w:szCs w:val="22"/>
        </w:rPr>
      </w:pPr>
    </w:p>
    <w:p w:rsidR="00B23ED7" w:rsidRDefault="00B23ED7" w:rsidP="00B23ED7">
      <w:pPr>
        <w:pStyle w:val="CM24"/>
        <w:tabs>
          <w:tab w:val="left" w:pos="709"/>
        </w:tabs>
        <w:spacing w:after="0"/>
        <w:ind w:left="705" w:right="-86" w:hanging="705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6. </w:t>
      </w:r>
      <w:r w:rsidRPr="009B6FCF">
        <w:rPr>
          <w:rFonts w:cs="Arial"/>
          <w:b/>
          <w:bCs/>
          <w:sz w:val="22"/>
          <w:szCs w:val="22"/>
        </w:rPr>
        <w:t>SLUŽBE I POSTROJBE PRAVNIH OSOBA</w:t>
      </w:r>
      <w:r>
        <w:rPr>
          <w:rFonts w:cs="Arial"/>
          <w:b/>
          <w:bCs/>
          <w:sz w:val="22"/>
          <w:szCs w:val="22"/>
        </w:rPr>
        <w:t xml:space="preserve"> KOJE SE ZAŠTITOM I SPAŠAVANJEM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left="705" w:right="-86" w:hanging="705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lastRenderedPageBreak/>
        <w:t xml:space="preserve">    </w:t>
      </w:r>
      <w:r w:rsidRPr="009B6FCF">
        <w:rPr>
          <w:rFonts w:cs="Arial"/>
          <w:b/>
          <w:bCs/>
          <w:sz w:val="22"/>
          <w:szCs w:val="22"/>
        </w:rPr>
        <w:t xml:space="preserve">(CIVILNOM ZAŠTITOM) BAVE U SVOJOJ REDOVNOJ DJELATNOSTI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sz w:val="22"/>
          <w:szCs w:val="22"/>
        </w:rPr>
      </w:pPr>
    </w:p>
    <w:p w:rsidR="00B23ED7" w:rsidRPr="009B6FCF" w:rsidRDefault="00B23ED7" w:rsidP="00B23ED7">
      <w:pPr>
        <w:jc w:val="both"/>
      </w:pPr>
      <w:r w:rsidRPr="009B6FCF">
        <w:rPr>
          <w:rFonts w:cs="Arial"/>
          <w:szCs w:val="22"/>
        </w:rPr>
        <w:tab/>
        <w:t xml:space="preserve">Među službe i </w:t>
      </w:r>
      <w:r w:rsidRPr="009B6FCF">
        <w:rPr>
          <w:rFonts w:cs="Arial"/>
          <w:bCs/>
          <w:szCs w:val="22"/>
        </w:rPr>
        <w:t>postrojbe pravnih osoba koje se zaštitom i spašavanjem bave u svojoj redovnoj djelatnosti</w:t>
      </w:r>
      <w:r w:rsidRPr="009B6FCF">
        <w:rPr>
          <w:rFonts w:cs="Arial"/>
          <w:b/>
          <w:bCs/>
          <w:szCs w:val="22"/>
        </w:rPr>
        <w:t xml:space="preserve"> </w:t>
      </w:r>
      <w:r w:rsidRPr="009B6FCF">
        <w:rPr>
          <w:rFonts w:cs="Arial"/>
          <w:bCs/>
          <w:szCs w:val="22"/>
        </w:rPr>
        <w:t>ubrajaju se</w:t>
      </w:r>
      <w:r w:rsidRPr="009B6FCF">
        <w:rPr>
          <w:rFonts w:cs="Arial"/>
          <w:b/>
          <w:bCs/>
          <w:szCs w:val="22"/>
        </w:rPr>
        <w:t xml:space="preserve"> </w:t>
      </w:r>
      <w:r w:rsidRPr="009B6FCF">
        <w:rPr>
          <w:rFonts w:cs="Arial"/>
          <w:szCs w:val="22"/>
        </w:rPr>
        <w:t xml:space="preserve">Hrvatska gorska služba spašavanja – Stanica Rijeka, Gradsko društvo Crvenog križa Rijeka, Radio mreža za opasnost, Dezinsekcija d.o.o. Rijeka, IND-EKO d.o.o. Rijeka, </w:t>
      </w:r>
      <w:proofErr w:type="spellStart"/>
      <w:r w:rsidRPr="009B6FCF">
        <w:rPr>
          <w:rFonts w:cs="Arial"/>
          <w:szCs w:val="22"/>
        </w:rPr>
        <w:t>Rijekatank</w:t>
      </w:r>
      <w:proofErr w:type="spellEnd"/>
      <w:r w:rsidRPr="009B6FCF">
        <w:rPr>
          <w:rFonts w:cs="Arial"/>
          <w:szCs w:val="22"/>
        </w:rPr>
        <w:t xml:space="preserve"> d.o.o. Rijeka, Jadranski pomorski servis d.o.o. Rijeka, Veterinarska stanica Rijeka d.o.o. i DLS d.o.o. Rijeka. </w:t>
      </w:r>
    </w:p>
    <w:p w:rsidR="00B23ED7" w:rsidRPr="009B6FCF" w:rsidRDefault="00B23ED7" w:rsidP="00B23ED7">
      <w:pPr>
        <w:pStyle w:val="CM5"/>
        <w:tabs>
          <w:tab w:val="left" w:pos="709"/>
        </w:tabs>
        <w:spacing w:line="240" w:lineRule="auto"/>
        <w:ind w:right="-86"/>
        <w:jc w:val="both"/>
        <w:rPr>
          <w:rFonts w:cs="Arial"/>
          <w:sz w:val="22"/>
          <w:szCs w:val="22"/>
        </w:rPr>
      </w:pPr>
      <w:r w:rsidRPr="009B6FCF">
        <w:rPr>
          <w:rFonts w:cs="Arial"/>
          <w:sz w:val="22"/>
          <w:szCs w:val="22"/>
        </w:rPr>
        <w:tab/>
        <w:t>Za realizaciju programskih aktivnosti Hrvatske gorske službe spašavanja - Stanice Rijeka (akcije spašavanja, održavanja znanja i sposobnosti te izobrazbe i uvježbavanja novih kadrova, troškova potražnih pasa, kao i tekućih troškova) Grad Rijeka je za potrebe Hrvatske gorske službe spašavanja - Stanica Rijeka u narednom razdoblju utvrdio iznos od 34.000,00 eura koji će se realizirati kroz godišnji Program javnih potreba za obavljanje djelatnosti Hrvatske gorske službe spašavanja – Stanica Rijeka.</w:t>
      </w:r>
    </w:p>
    <w:p w:rsidR="00B23ED7" w:rsidRPr="009B6FCF" w:rsidRDefault="00B23ED7" w:rsidP="00B23ED7">
      <w:pPr>
        <w:pStyle w:val="Default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ab/>
        <w:t xml:space="preserve">Sa Strukovnom udrugom građana Radio mreža za opasnost potpisan je Ugovor o suradnji u slučaju katastrofa i velikih nesreća u svrhu održavanja komunikacije radio vezom u slučaju pada ostalih načina komunikacije (fiksna i mobilna telefonija).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sz w:val="22"/>
          <w:szCs w:val="22"/>
        </w:rPr>
      </w:pPr>
      <w:r w:rsidRPr="009B6FCF">
        <w:rPr>
          <w:sz w:val="22"/>
          <w:szCs w:val="22"/>
        </w:rPr>
        <w:tab/>
        <w:t>Za ostale pravne osobe navedene u ovoj točki, na temelju nove Odluke o određivanju pravnih osoba od interesa za sustav civilne zaštite na području grada Rijeke koju je potrebno donijeti, u sljedećem razdoblju dostavljat će se Izvodi iz Plana djelovanja civilne zaštite Grada Rijeke i Procjene rizika od velikih nesreća za područje grada Rijeke te će se potpisivati Ugovori o suradnji u slučaju katastrofa i velikih nesreća.</w:t>
      </w:r>
    </w:p>
    <w:p w:rsidR="00B23ED7" w:rsidRPr="009B6FCF" w:rsidRDefault="00B23ED7" w:rsidP="00B23ED7">
      <w:pPr>
        <w:pStyle w:val="Default"/>
        <w:rPr>
          <w:color w:val="auto"/>
        </w:rPr>
      </w:pPr>
    </w:p>
    <w:p w:rsidR="00B23ED7" w:rsidRDefault="00B23ED7" w:rsidP="00B23ED7">
      <w:pPr>
        <w:pStyle w:val="CM24"/>
        <w:tabs>
          <w:tab w:val="left" w:pos="709"/>
        </w:tabs>
        <w:spacing w:after="0"/>
        <w:ind w:left="705" w:right="-86" w:hanging="705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7. </w:t>
      </w:r>
      <w:r w:rsidRPr="009B6FCF">
        <w:rPr>
          <w:rFonts w:cs="Arial"/>
          <w:b/>
          <w:bCs/>
          <w:sz w:val="22"/>
          <w:szCs w:val="22"/>
        </w:rPr>
        <w:t xml:space="preserve">OSTALE SLUŽBE I PRAVNE OSOBE OD INTERESA ZA SUSTAV CIVILNE ZAŠTITE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left="705" w:right="-86" w:hanging="705"/>
        <w:jc w:val="both"/>
        <w:rPr>
          <w:rFonts w:cs="Arial"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    </w:t>
      </w:r>
      <w:r w:rsidRPr="009B6FCF">
        <w:rPr>
          <w:rFonts w:cs="Arial"/>
          <w:b/>
          <w:bCs/>
          <w:sz w:val="22"/>
          <w:szCs w:val="22"/>
        </w:rPr>
        <w:t>(OSTALE GOTOVE SNAGE)</w:t>
      </w:r>
      <w:r w:rsidRPr="009B6FCF">
        <w:rPr>
          <w:rFonts w:cs="Arial"/>
          <w:bCs/>
          <w:sz w:val="22"/>
          <w:szCs w:val="22"/>
        </w:rPr>
        <w:t xml:space="preserve">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bCs/>
          <w:sz w:val="22"/>
          <w:szCs w:val="22"/>
        </w:rPr>
      </w:pP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bCs/>
          <w:sz w:val="22"/>
          <w:szCs w:val="22"/>
          <w:highlight w:val="yellow"/>
        </w:rPr>
      </w:pPr>
      <w:r w:rsidRPr="009B6FCF">
        <w:rPr>
          <w:rFonts w:cs="Arial"/>
          <w:bCs/>
          <w:sz w:val="22"/>
          <w:szCs w:val="22"/>
        </w:rPr>
        <w:tab/>
      </w:r>
      <w:bookmarkStart w:id="0" w:name="_GoBack"/>
      <w:r w:rsidRPr="009B6FCF">
        <w:rPr>
          <w:rFonts w:cs="Arial"/>
          <w:bCs/>
          <w:sz w:val="22"/>
          <w:szCs w:val="22"/>
        </w:rPr>
        <w:t xml:space="preserve">Ostale pravne osobe od interesa za sustav civilne zaštite su KD Vodovod i kanalizacija d.o.o. Rijeka, KD Kozala d.o.o. Rijeka, KD Autotrolej d.o.o. Rijeka, RIJEKA plus d.o.o. Rijeka, Energo d.o.o. Rijeka, </w:t>
      </w:r>
      <w:proofErr w:type="spellStart"/>
      <w:r w:rsidRPr="009B6FCF">
        <w:rPr>
          <w:rFonts w:cs="Arial"/>
          <w:bCs/>
          <w:sz w:val="22"/>
          <w:szCs w:val="22"/>
        </w:rPr>
        <w:t>Novotehna</w:t>
      </w:r>
      <w:proofErr w:type="spellEnd"/>
      <w:r w:rsidRPr="009B6FCF">
        <w:rPr>
          <w:rFonts w:cs="Arial"/>
          <w:bCs/>
          <w:sz w:val="22"/>
          <w:szCs w:val="22"/>
        </w:rPr>
        <w:t xml:space="preserve"> d.d. Rijeka, GP KRK d.d. Krk, Luka Rijeka d.d. Rijeka, 3. MAJ Brodogradilište d.d. Rijeka, Ceste - Rijeka d.o.o. </w:t>
      </w:r>
      <w:proofErr w:type="spellStart"/>
      <w:r w:rsidRPr="009B6FCF">
        <w:rPr>
          <w:rFonts w:cs="Arial"/>
          <w:bCs/>
          <w:sz w:val="22"/>
          <w:szCs w:val="22"/>
        </w:rPr>
        <w:t>Kukuljanovo</w:t>
      </w:r>
      <w:proofErr w:type="spellEnd"/>
      <w:r w:rsidRPr="009B6FCF">
        <w:rPr>
          <w:rFonts w:cs="Arial"/>
          <w:bCs/>
          <w:sz w:val="22"/>
          <w:szCs w:val="22"/>
        </w:rPr>
        <w:t xml:space="preserve">, Jami oprema d.o.o. Rijeka, Savez izviđača Rijeka, Jadran hoteli d.d. Rijeka, SECURITAS HRVATSKA d.o.o. Zagreb.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sz w:val="22"/>
          <w:szCs w:val="22"/>
        </w:rPr>
      </w:pPr>
      <w:r w:rsidRPr="009B6FCF">
        <w:rPr>
          <w:rFonts w:cs="Arial"/>
          <w:sz w:val="22"/>
          <w:szCs w:val="22"/>
        </w:rPr>
        <w:tab/>
        <w:t>Pravne osobe navedene u ovoj točki određene su Odlukom o određivanju pravnih osoba od interesa za sustav civilne zaštite na području grada Rijeke te se očekuje kako će se donošenjem nove Odluke o određivanju pravnih osoba od interesa za sustav civilne zaštite na području grada Rijeke broj pravnih osoba od interesa za sustav civilne zaštite i povećati, naročito kao stručna potpora operativnim snagama sustava civilne zaštite.</w:t>
      </w:r>
      <w:r w:rsidRPr="009B6FCF">
        <w:rPr>
          <w:sz w:val="22"/>
          <w:szCs w:val="22"/>
        </w:rPr>
        <w:t xml:space="preserve"> 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sz w:val="22"/>
          <w:szCs w:val="22"/>
        </w:rPr>
      </w:pPr>
      <w:r w:rsidRPr="009B6FCF">
        <w:rPr>
          <w:sz w:val="22"/>
          <w:szCs w:val="22"/>
        </w:rPr>
        <w:tab/>
        <w:t xml:space="preserve">Navedenim pravnim osobama zaštita i spašavanje nije redovna djelatnost, ali se po potrebi uključuju u sustav civilne zaštite ljudskim i materijalnim resursima. </w:t>
      </w:r>
    </w:p>
    <w:bookmarkEnd w:id="0"/>
    <w:p w:rsidR="00B23ED7" w:rsidRPr="009B6FCF" w:rsidRDefault="00B23ED7" w:rsidP="00B23ED7">
      <w:pPr>
        <w:pStyle w:val="Default"/>
        <w:rPr>
          <w:color w:val="auto"/>
        </w:rPr>
      </w:pPr>
    </w:p>
    <w:p w:rsidR="00B23ED7" w:rsidRPr="009B6FCF" w:rsidRDefault="00B23ED7" w:rsidP="00B23ED7">
      <w:pPr>
        <w:pStyle w:val="Default"/>
        <w:tabs>
          <w:tab w:val="left" w:pos="709"/>
        </w:tabs>
        <w:ind w:right="-86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8. </w:t>
      </w:r>
      <w:r w:rsidRPr="009B6FCF">
        <w:rPr>
          <w:b/>
          <w:bCs/>
          <w:color w:val="auto"/>
          <w:sz w:val="22"/>
          <w:szCs w:val="22"/>
        </w:rPr>
        <w:t>SKLONIŠTA</w:t>
      </w:r>
    </w:p>
    <w:p w:rsidR="00B23ED7" w:rsidRPr="009B6FCF" w:rsidRDefault="00B23ED7" w:rsidP="00B23ED7">
      <w:pPr>
        <w:pStyle w:val="CM24"/>
        <w:tabs>
          <w:tab w:val="left" w:pos="709"/>
        </w:tabs>
        <w:spacing w:after="0"/>
        <w:ind w:right="-86"/>
        <w:jc w:val="both"/>
        <w:rPr>
          <w:rFonts w:cs="Arial"/>
          <w:sz w:val="22"/>
          <w:szCs w:val="22"/>
        </w:rPr>
      </w:pPr>
      <w:r w:rsidRPr="009B6FCF">
        <w:rPr>
          <w:rFonts w:cs="Arial"/>
          <w:sz w:val="22"/>
          <w:szCs w:val="22"/>
        </w:rPr>
        <w:tab/>
      </w:r>
    </w:p>
    <w:p w:rsidR="00B23ED7" w:rsidRPr="009B6FCF" w:rsidRDefault="00B23ED7" w:rsidP="00B23ED7">
      <w:pPr>
        <w:widowControl w:val="0"/>
        <w:tabs>
          <w:tab w:val="left" w:pos="709"/>
        </w:tabs>
        <w:jc w:val="both"/>
      </w:pPr>
      <w:r w:rsidRPr="009B6FCF">
        <w:tab/>
        <w:t>Na području grada Rijeke postoje dvije vrste skloništa kojima upravlja Grad Rijeka – javna tunelska skloništa i skloništa osnovne zaštite.</w:t>
      </w:r>
    </w:p>
    <w:p w:rsidR="00B23ED7" w:rsidRPr="009B6FCF" w:rsidRDefault="00B23ED7" w:rsidP="00B23ED7">
      <w:pPr>
        <w:widowControl w:val="0"/>
        <w:tabs>
          <w:tab w:val="left" w:pos="709"/>
        </w:tabs>
        <w:jc w:val="both"/>
        <w:rPr>
          <w:rFonts w:cs="Arial"/>
          <w:szCs w:val="22"/>
        </w:rPr>
      </w:pPr>
      <w:r w:rsidRPr="009B6FCF">
        <w:tab/>
        <w:t>S obzirom na trenutno stanje sigurnosti u svijetu, u narednom mandatnom razdoblju očekuje se povećani opseg stupnja održavanja skloništa koje obuhvaća poslove tekućeg održavanja.</w:t>
      </w:r>
      <w:r w:rsidRPr="009B6FCF">
        <w:rPr>
          <w:rFonts w:cs="Arial"/>
          <w:szCs w:val="22"/>
        </w:rPr>
        <w:t xml:space="preserve"> </w:t>
      </w:r>
    </w:p>
    <w:p w:rsidR="00B23ED7" w:rsidRPr="009B6FCF" w:rsidRDefault="00B23ED7" w:rsidP="00B23ED7">
      <w:pPr>
        <w:pStyle w:val="Default"/>
        <w:rPr>
          <w:color w:val="auto"/>
        </w:rPr>
      </w:pPr>
    </w:p>
    <w:p w:rsidR="00B23ED7" w:rsidRPr="009B6FCF" w:rsidRDefault="00B23ED7" w:rsidP="00B23ED7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9. </w:t>
      </w:r>
      <w:r w:rsidRPr="009B6FCF">
        <w:rPr>
          <w:b/>
          <w:color w:val="auto"/>
          <w:sz w:val="22"/>
          <w:szCs w:val="22"/>
        </w:rPr>
        <w:t>EDUKACIJA GRAĐANA</w:t>
      </w:r>
    </w:p>
    <w:p w:rsidR="00B23ED7" w:rsidRPr="009B6FCF" w:rsidRDefault="00B23ED7" w:rsidP="00B23ED7">
      <w:pPr>
        <w:pStyle w:val="Default"/>
        <w:rPr>
          <w:color w:val="auto"/>
          <w:sz w:val="22"/>
          <w:szCs w:val="22"/>
        </w:rPr>
      </w:pPr>
    </w:p>
    <w:p w:rsidR="00B23ED7" w:rsidRPr="009B6FCF" w:rsidRDefault="00B23ED7" w:rsidP="00B23ED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>Učestalost velikih nesreća i katastrofa te njihove posljedice uvelike se mogu smanjiti i ublažiti ako se posveti veća pozornost općoj pripravnosti za adekvatan odgovor na prijeteću ugrozu.</w:t>
      </w:r>
    </w:p>
    <w:p w:rsidR="00B23ED7" w:rsidRPr="009B6FCF" w:rsidRDefault="00B23ED7" w:rsidP="00B23ED7">
      <w:pPr>
        <w:pStyle w:val="Default"/>
        <w:ind w:firstLine="709"/>
        <w:jc w:val="both"/>
        <w:rPr>
          <w:color w:val="auto"/>
          <w:sz w:val="22"/>
          <w:szCs w:val="22"/>
        </w:rPr>
      </w:pPr>
      <w:r w:rsidRPr="009B6FCF">
        <w:rPr>
          <w:color w:val="auto"/>
          <w:sz w:val="22"/>
          <w:szCs w:val="22"/>
        </w:rPr>
        <w:t>Edukaciju stanovništva potrebno je provoditi kroz sustavno informiranje građana i jačanje svijesti šire društvene zajednice o važnosti sprečavanja nastanka nesreća, kao i o posljedicama velikih nesreća.</w:t>
      </w:r>
    </w:p>
    <w:p w:rsidR="00B23ED7" w:rsidRPr="009B6FCF" w:rsidRDefault="00B23ED7" w:rsidP="00B23ED7">
      <w:pPr>
        <w:pStyle w:val="Default"/>
        <w:ind w:firstLine="709"/>
        <w:jc w:val="both"/>
        <w:rPr>
          <w:color w:val="auto"/>
        </w:rPr>
      </w:pPr>
      <w:r w:rsidRPr="009B6FCF">
        <w:rPr>
          <w:color w:val="auto"/>
          <w:sz w:val="22"/>
          <w:szCs w:val="22"/>
        </w:rPr>
        <w:t xml:space="preserve">Edukacija odraslih osoba provodit će se dijeljenjem edukativnog materijala o ponašanju </w:t>
      </w:r>
      <w:r w:rsidRPr="009B6FCF">
        <w:rPr>
          <w:color w:val="auto"/>
          <w:sz w:val="22"/>
          <w:szCs w:val="22"/>
        </w:rPr>
        <w:lastRenderedPageBreak/>
        <w:t>tijekom katastrofa ili velikih nesreća, predavanjima u prostorijama mjesnih odbora, ali i objavljivanjem edukativnog materijala na mrežnim stranicama Grada Rijeke.</w:t>
      </w:r>
    </w:p>
    <w:p w:rsidR="00B23ED7" w:rsidRDefault="00B23ED7" w:rsidP="00B23ED7">
      <w:pPr>
        <w:widowControl w:val="0"/>
        <w:tabs>
          <w:tab w:val="left" w:pos="0"/>
          <w:tab w:val="left" w:pos="709"/>
        </w:tabs>
        <w:ind w:right="-57"/>
        <w:jc w:val="center"/>
        <w:rPr>
          <w:rFonts w:cs="Arial"/>
          <w:b/>
          <w:sz w:val="20"/>
        </w:rPr>
      </w:pPr>
    </w:p>
    <w:p w:rsidR="00B23ED7" w:rsidRPr="009B6FCF" w:rsidRDefault="00B23ED7" w:rsidP="00B23ED7">
      <w:pPr>
        <w:widowControl w:val="0"/>
        <w:tabs>
          <w:tab w:val="left" w:pos="0"/>
          <w:tab w:val="left" w:pos="709"/>
        </w:tabs>
        <w:ind w:right="-57"/>
        <w:jc w:val="center"/>
        <w:rPr>
          <w:rFonts w:cs="Arial"/>
          <w:b/>
          <w:sz w:val="20"/>
        </w:rPr>
      </w:pPr>
      <w:r w:rsidRPr="009B6FCF">
        <w:rPr>
          <w:rFonts w:cs="Arial"/>
          <w:b/>
          <w:sz w:val="20"/>
        </w:rPr>
        <w:t>FINANCIJSKI PLAN ZA RAZVOJ SUSTAVA CIVILNE ZAŠTITE U RAZDOBLJU 2025. - 2028. GODINE</w:t>
      </w:r>
    </w:p>
    <w:tbl>
      <w:tblPr>
        <w:tblW w:w="916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1"/>
        <w:gridCol w:w="3438"/>
        <w:gridCol w:w="1254"/>
        <w:gridCol w:w="1235"/>
        <w:gridCol w:w="1339"/>
        <w:gridCol w:w="1339"/>
      </w:tblGrid>
      <w:tr w:rsidR="00B23ED7" w:rsidRPr="009B6FCF" w:rsidTr="005E036E">
        <w:trPr>
          <w:trHeight w:val="249"/>
          <w:jc w:val="center"/>
        </w:trPr>
        <w:tc>
          <w:tcPr>
            <w:tcW w:w="561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99CCFF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Red.</w:t>
            </w:r>
          </w:p>
          <w:p w:rsidR="00B23ED7" w:rsidRPr="009B6FCF" w:rsidRDefault="00B23ED7" w:rsidP="005E036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broj</w:t>
            </w:r>
          </w:p>
        </w:tc>
        <w:tc>
          <w:tcPr>
            <w:tcW w:w="3438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solid" w:color="99CCFF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  <w:p w:rsidR="00B23ED7" w:rsidRPr="009B6FCF" w:rsidRDefault="00B23ED7" w:rsidP="005E036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OPIS POZICIJE</w:t>
            </w:r>
          </w:p>
        </w:tc>
        <w:tc>
          <w:tcPr>
            <w:tcW w:w="5167" w:type="dxa"/>
            <w:gridSpan w:val="4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PLANIRANO</w:t>
            </w:r>
          </w:p>
        </w:tc>
      </w:tr>
      <w:tr w:rsidR="00B23ED7" w:rsidRPr="009B6FCF" w:rsidTr="005E036E">
        <w:trPr>
          <w:trHeight w:val="254"/>
          <w:jc w:val="center"/>
        </w:trPr>
        <w:tc>
          <w:tcPr>
            <w:tcW w:w="561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99CCFF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438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99CCFF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2025.</w:t>
            </w:r>
          </w:p>
        </w:tc>
        <w:tc>
          <w:tcPr>
            <w:tcW w:w="123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2026.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2027.</w:t>
            </w:r>
          </w:p>
        </w:tc>
        <w:tc>
          <w:tcPr>
            <w:tcW w:w="133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solid" w:color="99CC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2028.</w:t>
            </w:r>
          </w:p>
        </w:tc>
      </w:tr>
      <w:tr w:rsidR="00B23ED7" w:rsidRPr="009B6FCF" w:rsidTr="005E036E">
        <w:trPr>
          <w:trHeight w:val="316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343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STOŽER CIVILNE ZAŠTITE, POSTROJBE CIVILNE ZAŠTITE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doub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doub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1. 1.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Stožer civilne zaštite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319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1.1.1.</w:t>
            </w:r>
          </w:p>
        </w:tc>
        <w:tc>
          <w:tcPr>
            <w:tcW w:w="3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Stručno usavršavanje i osposobljavanje članova Stožera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319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1.1.2.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Opremanje Stožera osobnom opremom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290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1.1.3.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Opremanje Stožera skupnom opremom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1.2.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Postrojbe civilne zaštite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73.000,00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23.000,00</w:t>
            </w:r>
          </w:p>
        </w:tc>
      </w:tr>
      <w:tr w:rsidR="00B23ED7" w:rsidRPr="009B6FCF" w:rsidTr="005E036E">
        <w:trPr>
          <w:trHeight w:val="319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1.2.1.</w:t>
            </w:r>
          </w:p>
        </w:tc>
        <w:tc>
          <w:tcPr>
            <w:tcW w:w="3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Osposobljavanje, vježbe civilne zaštite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</w:tr>
      <w:tr w:rsidR="00B23ED7" w:rsidRPr="009B6FCF" w:rsidTr="005E036E">
        <w:trPr>
          <w:trHeight w:val="334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1.2.2.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Naknade pripadnicima za sudjelovanje u aktivnostima civilne zaštite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4.000,00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4.000,00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4.000,00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4.000,00</w:t>
            </w:r>
          </w:p>
        </w:tc>
      </w:tr>
      <w:tr w:rsidR="00B23ED7" w:rsidRPr="009B6FCF" w:rsidTr="005E036E">
        <w:trPr>
          <w:trHeight w:val="334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1.2.3.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Opremanje postrojbi CZ osobnom opremom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1.2.4.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Opremanje postrojbi CZ skupnom opremom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8.000,00</w:t>
            </w:r>
          </w:p>
        </w:tc>
      </w:tr>
      <w:tr w:rsidR="00B23ED7" w:rsidRPr="009B6FCF" w:rsidTr="005E036E">
        <w:trPr>
          <w:trHeight w:val="290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1.2.5.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 xml:space="preserve">Povjerenici civilne zaštite 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290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1.2.6.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Nabava vozila za prijevoz ljudstva i opreme CZ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50.000,00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73.000,00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23.000,00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23.000,00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2.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VATROGASTVO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3ED7" w:rsidRPr="009B6FCF" w:rsidTr="005E036E">
        <w:trPr>
          <w:trHeight w:val="290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2.1.</w:t>
            </w:r>
          </w:p>
        </w:tc>
        <w:tc>
          <w:tcPr>
            <w:tcW w:w="3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Javna vatrogasna postrojba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sz w:val="18"/>
                <w:szCs w:val="18"/>
              </w:rPr>
              <w:t>2.707.154,00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sz w:val="18"/>
                <w:szCs w:val="18"/>
              </w:rPr>
              <w:t>2.707.154,00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sz w:val="18"/>
                <w:szCs w:val="18"/>
              </w:rPr>
              <w:t>2.707.154,00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sz w:val="18"/>
                <w:szCs w:val="18"/>
              </w:rPr>
              <w:t>2.707.154,00</w:t>
            </w:r>
          </w:p>
        </w:tc>
      </w:tr>
      <w:tr w:rsidR="00B23ED7" w:rsidRPr="009B6FCF" w:rsidTr="005E036E">
        <w:trPr>
          <w:trHeight w:val="400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2.1.1.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Financiranje Javne vatrogasne postrojbe iz Proračuna Grada Rijeke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2.707.154,00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2.707.154,00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2.707.154,00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2.707.154,00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2.2.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Gradska Vatrogasna zajednica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788.400,00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788.400,00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788.400,00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788.400,00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3.495.554,00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3.495.554,00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3.495.554,00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3.495.554,00</w:t>
            </w:r>
          </w:p>
        </w:tc>
      </w:tr>
      <w:tr w:rsidR="00B23ED7" w:rsidRPr="009B6FCF" w:rsidTr="005E036E">
        <w:trPr>
          <w:trHeight w:val="290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3.</w:t>
            </w:r>
          </w:p>
        </w:tc>
        <w:tc>
          <w:tcPr>
            <w:tcW w:w="3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SKLONIŠTA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3ED7" w:rsidRPr="009B6FCF" w:rsidTr="005E036E">
        <w:trPr>
          <w:trHeight w:val="290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3.1.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Tekuće održavanje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18.500,00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13.500,00</w:t>
            </w:r>
          </w:p>
        </w:tc>
      </w:tr>
      <w:tr w:rsidR="00B23ED7" w:rsidRPr="009B6FCF" w:rsidTr="005E036E">
        <w:trPr>
          <w:trHeight w:val="319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3.1.1.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Troškovi električne energije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3.500,00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3.500,00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3.500,00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3.500,00</w:t>
            </w:r>
          </w:p>
        </w:tc>
      </w:tr>
      <w:tr w:rsidR="00B23ED7" w:rsidRPr="009B6FCF" w:rsidTr="005E036E">
        <w:trPr>
          <w:trHeight w:val="388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3.1.2.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Tekuće održavanje (popravci brava, nova vrata, servisiranje protuudarnih vrata)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15.000,00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10.000,00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10.000,00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18.500,00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13.500,00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13.500,00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nil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4.</w:t>
            </w:r>
          </w:p>
        </w:tc>
        <w:tc>
          <w:tcPr>
            <w:tcW w:w="7266" w:type="dxa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rPr>
                <w:rFonts w:ascii="Times New Roman" w:hAnsi="Times New Roman"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UDRUGE GRAĐANA KOJE SUDJELUJU U SUSTAVU CIVILNE ZAŠTITE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B23ED7" w:rsidRPr="009B6FCF" w:rsidTr="005E036E">
        <w:trPr>
          <w:trHeight w:val="449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4.1.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Udruge građana kojima je zaštita i spašavanje redovna djelatnost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34.000,00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34.000,00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34.000,00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34.000,00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4.1.1.</w:t>
            </w:r>
          </w:p>
        </w:tc>
        <w:tc>
          <w:tcPr>
            <w:tcW w:w="3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sz w:val="20"/>
                <w:vertAlign w:val="superscript"/>
                <w:lang w:eastAsia="x-none"/>
              </w:rPr>
            </w:pPr>
            <w:r w:rsidRPr="009B6FCF">
              <w:rPr>
                <w:rFonts w:cs="Arial"/>
                <w:sz w:val="18"/>
                <w:szCs w:val="18"/>
                <w:lang w:eastAsia="x-none"/>
              </w:rPr>
              <w:t>HGSS - Stanica Rijeka</w:t>
            </w:r>
            <w:r w:rsidRPr="009B6FCF">
              <w:rPr>
                <w:sz w:val="20"/>
                <w:vertAlign w:val="superscript"/>
                <w:lang w:eastAsia="x-none"/>
              </w:rPr>
              <w:t xml:space="preserve">1 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34.000,00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34.000,00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34.000,00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34.000,00</w:t>
            </w:r>
          </w:p>
        </w:tc>
      </w:tr>
      <w:tr w:rsidR="00B23ED7" w:rsidRPr="009B6FCF" w:rsidTr="005E036E">
        <w:trPr>
          <w:trHeight w:val="449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4.2.</w:t>
            </w: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 xml:space="preserve">Ostale udruge građana koje sudjeluju u sustavu civilne zaštite 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3.000,00</w:t>
            </w:r>
          </w:p>
        </w:tc>
      </w:tr>
      <w:tr w:rsidR="00B23ED7" w:rsidRPr="009B6FCF" w:rsidTr="005E036E">
        <w:trPr>
          <w:trHeight w:val="237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4.2.1.</w:t>
            </w:r>
          </w:p>
        </w:tc>
        <w:tc>
          <w:tcPr>
            <w:tcW w:w="34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sz w:val="20"/>
                <w:vertAlign w:val="superscript"/>
                <w:lang w:eastAsia="x-none"/>
              </w:rPr>
            </w:pPr>
            <w:r w:rsidRPr="009B6FCF">
              <w:rPr>
                <w:rFonts w:cs="Arial"/>
                <w:sz w:val="18"/>
                <w:szCs w:val="18"/>
                <w:lang w:eastAsia="x-none"/>
              </w:rPr>
              <w:t>Savez izviđača Rijeka</w:t>
            </w:r>
            <w:r w:rsidRPr="009B6FCF">
              <w:rPr>
                <w:sz w:val="20"/>
                <w:vertAlign w:val="superscript"/>
                <w:lang w:eastAsia="x-none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285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4.2.2.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sz w:val="20"/>
                <w:vertAlign w:val="superscript"/>
                <w:lang w:eastAsia="x-none"/>
              </w:rPr>
            </w:pPr>
            <w:r w:rsidRPr="009B6FCF">
              <w:rPr>
                <w:rFonts w:cs="Arial"/>
                <w:sz w:val="18"/>
                <w:szCs w:val="18"/>
                <w:lang w:eastAsia="x-none"/>
              </w:rPr>
              <w:t>Radio mreža za opasnost</w:t>
            </w:r>
            <w:r w:rsidRPr="009B6FCF">
              <w:rPr>
                <w:sz w:val="20"/>
                <w:vertAlign w:val="superscript"/>
                <w:lang w:eastAsia="x-none"/>
              </w:rPr>
              <w:t>3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262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B6FCF">
              <w:rPr>
                <w:rFonts w:cs="Arial"/>
                <w:sz w:val="20"/>
              </w:rPr>
              <w:t>4.2.3.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sz w:val="20"/>
                <w:vertAlign w:val="superscript"/>
                <w:lang w:eastAsia="x-none"/>
              </w:rPr>
            </w:pPr>
            <w:r w:rsidRPr="009B6FCF">
              <w:rPr>
                <w:rFonts w:cs="Arial"/>
                <w:sz w:val="18"/>
                <w:szCs w:val="18"/>
                <w:lang w:eastAsia="x-none"/>
              </w:rPr>
              <w:t xml:space="preserve">Klub belgijskih ovčara </w:t>
            </w:r>
            <w:proofErr w:type="spellStart"/>
            <w:r w:rsidRPr="009B6FCF">
              <w:rPr>
                <w:rFonts w:cs="Arial"/>
                <w:sz w:val="18"/>
                <w:szCs w:val="18"/>
                <w:lang w:eastAsia="x-none"/>
              </w:rPr>
              <w:t>Istrian</w:t>
            </w:r>
            <w:proofErr w:type="spellEnd"/>
            <w:r w:rsidRPr="009B6FCF">
              <w:rPr>
                <w:rFonts w:cs="Arial"/>
                <w:sz w:val="18"/>
                <w:szCs w:val="18"/>
                <w:lang w:eastAsia="x-none"/>
              </w:rPr>
              <w:t xml:space="preserve"> (potražni psi)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>3.000,00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37.000,00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37.000,00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37.000,00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37.000,00</w:t>
            </w:r>
          </w:p>
        </w:tc>
      </w:tr>
      <w:tr w:rsidR="00B23ED7" w:rsidRPr="009B6FCF" w:rsidTr="005E036E">
        <w:trPr>
          <w:trHeight w:val="317"/>
          <w:jc w:val="center"/>
        </w:trPr>
        <w:tc>
          <w:tcPr>
            <w:tcW w:w="561" w:type="dxa"/>
            <w:tcBorders>
              <w:top w:val="nil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  <w:r w:rsidRPr="009B6FCF">
              <w:rPr>
                <w:rFonts w:cs="Arial"/>
                <w:b/>
                <w:bCs/>
                <w:sz w:val="20"/>
              </w:rPr>
              <w:t>5.</w:t>
            </w:r>
          </w:p>
        </w:tc>
        <w:tc>
          <w:tcPr>
            <w:tcW w:w="8605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 xml:space="preserve">SLUŽBE I PRAVNE OSOBE KOJE SE ZAŠTITOM I SPAŠAVANJEM BAVE U SVOJOJ REDOVNOJ DJELATNOSTI: </w:t>
            </w:r>
          </w:p>
        </w:tc>
      </w:tr>
      <w:tr w:rsidR="00B23ED7" w:rsidRPr="009B6FCF" w:rsidTr="005E036E">
        <w:trPr>
          <w:trHeight w:val="478"/>
          <w:jc w:val="center"/>
        </w:trPr>
        <w:tc>
          <w:tcPr>
            <w:tcW w:w="561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86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solid" w:color="CCFFCC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both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t xml:space="preserve">Hitna pomoć, javno zdravstvo, socijalna služba, Crveni križ, veterinarska služba, zaštita bilja, zaštita okoliša, komunalna i trgovačka društva za održavanje komunalne infrastrukture (vodovod, kanalizacija, </w:t>
            </w:r>
            <w:r w:rsidRPr="009B6FCF">
              <w:rPr>
                <w:rFonts w:cs="Arial"/>
                <w:sz w:val="18"/>
                <w:szCs w:val="18"/>
              </w:rPr>
              <w:lastRenderedPageBreak/>
              <w:t>čistoća, groblja i drugo) kao i pravne osobe koje se bave građevinskom, prijevozničkom, turističkom i drugim djelatnostima od interesa za civilnu zaštitu.</w:t>
            </w:r>
          </w:p>
        </w:tc>
      </w:tr>
      <w:tr w:rsidR="00B23ED7" w:rsidRPr="009B6FCF" w:rsidTr="005E036E">
        <w:trPr>
          <w:trHeight w:val="305"/>
          <w:jc w:val="center"/>
        </w:trPr>
        <w:tc>
          <w:tcPr>
            <w:tcW w:w="561" w:type="dxa"/>
            <w:tcBorders>
              <w:top w:val="single" w:sz="6" w:space="0" w:color="auto"/>
              <w:left w:val="doub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9B6FCF">
              <w:rPr>
                <w:rFonts w:cs="Arial"/>
                <w:sz w:val="18"/>
                <w:szCs w:val="18"/>
              </w:rPr>
              <w:lastRenderedPageBreak/>
              <w:t>5.1.</w:t>
            </w:r>
          </w:p>
        </w:tc>
        <w:tc>
          <w:tcPr>
            <w:tcW w:w="34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sz w:val="20"/>
                <w:vertAlign w:val="superscript"/>
                <w:lang w:eastAsia="x-none"/>
              </w:rPr>
            </w:pPr>
            <w:r w:rsidRPr="009B6FCF">
              <w:rPr>
                <w:rFonts w:cs="Arial"/>
                <w:sz w:val="18"/>
                <w:szCs w:val="18"/>
                <w:lang w:eastAsia="x-none"/>
              </w:rPr>
              <w:t>Gradsko društvo Crvenog križa Rijeka</w:t>
            </w:r>
            <w:r w:rsidRPr="009B6FCF">
              <w:rPr>
                <w:sz w:val="20"/>
                <w:vertAlign w:val="superscript"/>
                <w:lang w:eastAsia="x-none"/>
              </w:rPr>
              <w:t>4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4" w:space="0" w:color="auto"/>
              <w:bottom w:val="nil"/>
              <w:right w:val="double" w:sz="6" w:space="0" w:color="auto"/>
            </w:tcBorders>
            <w:shd w:val="solid" w:color="FFFFFF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217"/>
          <w:jc w:val="center"/>
        </w:trPr>
        <w:tc>
          <w:tcPr>
            <w:tcW w:w="561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3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25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35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solid" w:color="FFCC99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0,00</w:t>
            </w:r>
          </w:p>
        </w:tc>
      </w:tr>
      <w:tr w:rsidR="00B23ED7" w:rsidRPr="009B6FCF" w:rsidTr="005E036E">
        <w:trPr>
          <w:trHeight w:val="292"/>
          <w:jc w:val="center"/>
        </w:trPr>
        <w:tc>
          <w:tcPr>
            <w:tcW w:w="56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4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SVEUKUPNO ZA SUSTAV CIVILNE ZAŠTITE</w:t>
            </w:r>
          </w:p>
        </w:tc>
        <w:tc>
          <w:tcPr>
            <w:tcW w:w="12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3.624.054,00</w:t>
            </w:r>
          </w:p>
        </w:tc>
        <w:tc>
          <w:tcPr>
            <w:tcW w:w="123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3.569.054,00</w:t>
            </w:r>
          </w:p>
        </w:tc>
        <w:tc>
          <w:tcPr>
            <w:tcW w:w="13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3.569.054,00</w:t>
            </w:r>
          </w:p>
        </w:tc>
        <w:tc>
          <w:tcPr>
            <w:tcW w:w="133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solid" w:color="FFFFCC" w:fill="auto"/>
            <w:vAlign w:val="center"/>
          </w:tcPr>
          <w:p w:rsidR="00B23ED7" w:rsidRPr="009B6FCF" w:rsidRDefault="00B23ED7" w:rsidP="005E036E">
            <w:pPr>
              <w:autoSpaceDE w:val="0"/>
              <w:autoSpaceDN w:val="0"/>
              <w:adjustRightInd w:val="0"/>
              <w:ind w:right="124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9B6FCF">
              <w:rPr>
                <w:rFonts w:cs="Arial"/>
                <w:b/>
                <w:bCs/>
                <w:sz w:val="18"/>
                <w:szCs w:val="18"/>
              </w:rPr>
              <w:t>3.569.054,00</w:t>
            </w:r>
          </w:p>
        </w:tc>
      </w:tr>
    </w:tbl>
    <w:p w:rsidR="00B23ED7" w:rsidRPr="009B6FCF" w:rsidRDefault="00B23ED7" w:rsidP="00B23ED7">
      <w:pPr>
        <w:pStyle w:val="BodyText"/>
        <w:widowControl w:val="0"/>
        <w:tabs>
          <w:tab w:val="left" w:pos="709"/>
          <w:tab w:val="left" w:pos="993"/>
        </w:tabs>
        <w:spacing w:after="0"/>
        <w:jc w:val="both"/>
        <w:rPr>
          <w:sz w:val="20"/>
        </w:rPr>
      </w:pPr>
      <w:r w:rsidRPr="009B6FCF">
        <w:rPr>
          <w:sz w:val="20"/>
          <w:vertAlign w:val="superscript"/>
        </w:rPr>
        <w:t xml:space="preserve">1) </w:t>
      </w:r>
      <w:r w:rsidRPr="009B6FCF">
        <w:rPr>
          <w:sz w:val="20"/>
        </w:rPr>
        <w:t>HGSS Stanica Rijeka – koristi bez naknade sklonište osnovne zaštite Grada Rijeke čija bi vrijednost zakupa iznosila 5.072,47 eura godišnje.</w:t>
      </w:r>
    </w:p>
    <w:p w:rsidR="00B23ED7" w:rsidRPr="009B6FCF" w:rsidRDefault="00B23ED7" w:rsidP="00B23ED7">
      <w:pPr>
        <w:pStyle w:val="BodyText"/>
        <w:widowControl w:val="0"/>
        <w:tabs>
          <w:tab w:val="left" w:pos="709"/>
          <w:tab w:val="left" w:pos="993"/>
        </w:tabs>
        <w:spacing w:after="0"/>
        <w:jc w:val="both"/>
        <w:rPr>
          <w:sz w:val="20"/>
        </w:rPr>
      </w:pPr>
      <w:r w:rsidRPr="009B6FCF">
        <w:rPr>
          <w:sz w:val="20"/>
          <w:vertAlign w:val="superscript"/>
        </w:rPr>
        <w:t xml:space="preserve">2) </w:t>
      </w:r>
      <w:r w:rsidRPr="009B6FCF">
        <w:rPr>
          <w:sz w:val="20"/>
        </w:rPr>
        <w:t xml:space="preserve">Savez izviđača Rijeka – koristi bez naknade sklonište osnovne zaštite Grada Rijeke čija bi vrijednost zakupa iznosila 2.616,32 eura godišnje. </w:t>
      </w:r>
    </w:p>
    <w:p w:rsidR="00B23ED7" w:rsidRPr="009B6FCF" w:rsidRDefault="00B23ED7" w:rsidP="00B23ED7">
      <w:pPr>
        <w:pStyle w:val="BodyText"/>
        <w:widowControl w:val="0"/>
        <w:tabs>
          <w:tab w:val="left" w:pos="709"/>
          <w:tab w:val="left" w:pos="993"/>
        </w:tabs>
        <w:spacing w:after="0"/>
        <w:jc w:val="both"/>
        <w:rPr>
          <w:sz w:val="20"/>
        </w:rPr>
      </w:pPr>
      <w:r w:rsidRPr="009B6FCF">
        <w:rPr>
          <w:sz w:val="20"/>
          <w:vertAlign w:val="superscript"/>
        </w:rPr>
        <w:t xml:space="preserve">3) </w:t>
      </w:r>
      <w:r w:rsidRPr="009B6FCF">
        <w:rPr>
          <w:sz w:val="20"/>
        </w:rPr>
        <w:t>Radio mreža za opasnost – za potrebe potpornog komunikacijskog centra omogućeno je korištenje prostora Grada Rijeke bez naknade te je nabavljena radio-oprema vrijednosti 4.358,26 eura koju koristi Radio mreža za opasnost.</w:t>
      </w:r>
    </w:p>
    <w:p w:rsidR="00B23ED7" w:rsidRPr="009B6FCF" w:rsidRDefault="00B23ED7" w:rsidP="00B23ED7">
      <w:pPr>
        <w:pStyle w:val="BodyText"/>
        <w:widowControl w:val="0"/>
        <w:tabs>
          <w:tab w:val="left" w:pos="709"/>
          <w:tab w:val="left" w:pos="993"/>
        </w:tabs>
        <w:spacing w:after="0"/>
        <w:jc w:val="both"/>
        <w:rPr>
          <w:rFonts w:cs="Arial"/>
          <w:b/>
          <w:sz w:val="20"/>
        </w:rPr>
      </w:pPr>
      <w:r w:rsidRPr="009B6FCF">
        <w:rPr>
          <w:sz w:val="20"/>
          <w:vertAlign w:val="superscript"/>
        </w:rPr>
        <w:t xml:space="preserve">4) </w:t>
      </w:r>
      <w:r w:rsidRPr="009B6FCF">
        <w:rPr>
          <w:sz w:val="20"/>
        </w:rPr>
        <w:t>Gradsko društvo Crvenog križa Rijeka koristi bez naknade dva skloništa osnovne zaštite čija bi vrijednost zakupa iznosila 3.791,00 eura godišnje.</w:t>
      </w:r>
    </w:p>
    <w:p w:rsidR="00BC32F0" w:rsidRDefault="00BC32F0"/>
    <w:sectPr w:rsidR="00BC3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E59F1"/>
    <w:multiLevelType w:val="hybridMultilevel"/>
    <w:tmpl w:val="2F286282"/>
    <w:lvl w:ilvl="0" w:tplc="3A5EA66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D7"/>
    <w:rsid w:val="00000A7F"/>
    <w:rsid w:val="00004867"/>
    <w:rsid w:val="00012546"/>
    <w:rsid w:val="000205B4"/>
    <w:rsid w:val="00021760"/>
    <w:rsid w:val="00032943"/>
    <w:rsid w:val="00034BB8"/>
    <w:rsid w:val="00046E5A"/>
    <w:rsid w:val="00055B1D"/>
    <w:rsid w:val="000567DA"/>
    <w:rsid w:val="000739D5"/>
    <w:rsid w:val="000853D4"/>
    <w:rsid w:val="00087F63"/>
    <w:rsid w:val="00091F4D"/>
    <w:rsid w:val="000B4C63"/>
    <w:rsid w:val="000B7E39"/>
    <w:rsid w:val="000C34E2"/>
    <w:rsid w:val="000C406D"/>
    <w:rsid w:val="000C4766"/>
    <w:rsid w:val="000C60EE"/>
    <w:rsid w:val="000D28CD"/>
    <w:rsid w:val="000D418D"/>
    <w:rsid w:val="000D6B07"/>
    <w:rsid w:val="00101018"/>
    <w:rsid w:val="00106211"/>
    <w:rsid w:val="001122B5"/>
    <w:rsid w:val="001124A8"/>
    <w:rsid w:val="00115132"/>
    <w:rsid w:val="00121FCE"/>
    <w:rsid w:val="00121FD1"/>
    <w:rsid w:val="00125B49"/>
    <w:rsid w:val="001304A3"/>
    <w:rsid w:val="001322B2"/>
    <w:rsid w:val="0013237C"/>
    <w:rsid w:val="00142FFF"/>
    <w:rsid w:val="00143FB7"/>
    <w:rsid w:val="00147F9F"/>
    <w:rsid w:val="0015356B"/>
    <w:rsid w:val="00155E7C"/>
    <w:rsid w:val="00157C3A"/>
    <w:rsid w:val="00174300"/>
    <w:rsid w:val="00174D9C"/>
    <w:rsid w:val="001751E5"/>
    <w:rsid w:val="00177D08"/>
    <w:rsid w:val="00180FB5"/>
    <w:rsid w:val="00181B93"/>
    <w:rsid w:val="0018508B"/>
    <w:rsid w:val="001A2C8E"/>
    <w:rsid w:val="001A7563"/>
    <w:rsid w:val="001B0FDC"/>
    <w:rsid w:val="001D200A"/>
    <w:rsid w:val="001D269B"/>
    <w:rsid w:val="001D29CD"/>
    <w:rsid w:val="001E4289"/>
    <w:rsid w:val="001F0226"/>
    <w:rsid w:val="002004C6"/>
    <w:rsid w:val="00203B20"/>
    <w:rsid w:val="00214F43"/>
    <w:rsid w:val="00215D07"/>
    <w:rsid w:val="00227194"/>
    <w:rsid w:val="00231074"/>
    <w:rsid w:val="002357B7"/>
    <w:rsid w:val="00240CEA"/>
    <w:rsid w:val="002474BF"/>
    <w:rsid w:val="00264840"/>
    <w:rsid w:val="0027058D"/>
    <w:rsid w:val="002828CD"/>
    <w:rsid w:val="0028455A"/>
    <w:rsid w:val="00284582"/>
    <w:rsid w:val="002A056C"/>
    <w:rsid w:val="002B73F2"/>
    <w:rsid w:val="002C413B"/>
    <w:rsid w:val="002C47A4"/>
    <w:rsid w:val="002C4DE6"/>
    <w:rsid w:val="002D41C5"/>
    <w:rsid w:val="002D422B"/>
    <w:rsid w:val="002D60DC"/>
    <w:rsid w:val="003043DC"/>
    <w:rsid w:val="00310E2C"/>
    <w:rsid w:val="00314597"/>
    <w:rsid w:val="003172FE"/>
    <w:rsid w:val="00323456"/>
    <w:rsid w:val="00330BAC"/>
    <w:rsid w:val="00333514"/>
    <w:rsid w:val="00333D6A"/>
    <w:rsid w:val="0033506E"/>
    <w:rsid w:val="00337629"/>
    <w:rsid w:val="003440AC"/>
    <w:rsid w:val="00344FED"/>
    <w:rsid w:val="00357876"/>
    <w:rsid w:val="0036171C"/>
    <w:rsid w:val="00361749"/>
    <w:rsid w:val="00361AA3"/>
    <w:rsid w:val="00365EC9"/>
    <w:rsid w:val="00370343"/>
    <w:rsid w:val="00375906"/>
    <w:rsid w:val="00384973"/>
    <w:rsid w:val="00387015"/>
    <w:rsid w:val="00390232"/>
    <w:rsid w:val="003917EE"/>
    <w:rsid w:val="00394144"/>
    <w:rsid w:val="003A2E8D"/>
    <w:rsid w:val="003B152C"/>
    <w:rsid w:val="003B173D"/>
    <w:rsid w:val="003B7B9E"/>
    <w:rsid w:val="003C14D8"/>
    <w:rsid w:val="003C7733"/>
    <w:rsid w:val="003D0B85"/>
    <w:rsid w:val="003D2B4B"/>
    <w:rsid w:val="003D4746"/>
    <w:rsid w:val="003D4841"/>
    <w:rsid w:val="003D4E4E"/>
    <w:rsid w:val="003D573F"/>
    <w:rsid w:val="003E348C"/>
    <w:rsid w:val="003F014B"/>
    <w:rsid w:val="003F450A"/>
    <w:rsid w:val="00401B4A"/>
    <w:rsid w:val="0041095A"/>
    <w:rsid w:val="00410CC7"/>
    <w:rsid w:val="0041614F"/>
    <w:rsid w:val="004201C0"/>
    <w:rsid w:val="00437E1B"/>
    <w:rsid w:val="004415BD"/>
    <w:rsid w:val="0045286C"/>
    <w:rsid w:val="00476977"/>
    <w:rsid w:val="00480047"/>
    <w:rsid w:val="00483E00"/>
    <w:rsid w:val="004869B5"/>
    <w:rsid w:val="00494CC1"/>
    <w:rsid w:val="00495B8E"/>
    <w:rsid w:val="004A1656"/>
    <w:rsid w:val="004A3AA1"/>
    <w:rsid w:val="004B61F9"/>
    <w:rsid w:val="004E17DA"/>
    <w:rsid w:val="004E5BD1"/>
    <w:rsid w:val="004F202E"/>
    <w:rsid w:val="004F2A59"/>
    <w:rsid w:val="004F70ED"/>
    <w:rsid w:val="004F7D5F"/>
    <w:rsid w:val="00514AA6"/>
    <w:rsid w:val="00517DFB"/>
    <w:rsid w:val="00525797"/>
    <w:rsid w:val="00526899"/>
    <w:rsid w:val="00540A5A"/>
    <w:rsid w:val="00541BC1"/>
    <w:rsid w:val="00542809"/>
    <w:rsid w:val="0054431D"/>
    <w:rsid w:val="0054565B"/>
    <w:rsid w:val="005612F0"/>
    <w:rsid w:val="00567ED2"/>
    <w:rsid w:val="00574118"/>
    <w:rsid w:val="00575AAD"/>
    <w:rsid w:val="00583C07"/>
    <w:rsid w:val="00585730"/>
    <w:rsid w:val="00586184"/>
    <w:rsid w:val="00586C31"/>
    <w:rsid w:val="00587B97"/>
    <w:rsid w:val="005950B7"/>
    <w:rsid w:val="00595521"/>
    <w:rsid w:val="00595BBE"/>
    <w:rsid w:val="00596E4B"/>
    <w:rsid w:val="005A3C5F"/>
    <w:rsid w:val="005A6878"/>
    <w:rsid w:val="005B6578"/>
    <w:rsid w:val="005C4FD6"/>
    <w:rsid w:val="005D0776"/>
    <w:rsid w:val="005D62FA"/>
    <w:rsid w:val="005D67E9"/>
    <w:rsid w:val="005F0330"/>
    <w:rsid w:val="005F580A"/>
    <w:rsid w:val="005F68DC"/>
    <w:rsid w:val="00606436"/>
    <w:rsid w:val="00606BF9"/>
    <w:rsid w:val="006155BF"/>
    <w:rsid w:val="00621CDF"/>
    <w:rsid w:val="00622417"/>
    <w:rsid w:val="0063507E"/>
    <w:rsid w:val="00636BFB"/>
    <w:rsid w:val="00655697"/>
    <w:rsid w:val="00655ED9"/>
    <w:rsid w:val="00674F87"/>
    <w:rsid w:val="00683207"/>
    <w:rsid w:val="006945ED"/>
    <w:rsid w:val="00694BF7"/>
    <w:rsid w:val="00696858"/>
    <w:rsid w:val="006A49FE"/>
    <w:rsid w:val="006B1B41"/>
    <w:rsid w:val="006B6710"/>
    <w:rsid w:val="006B6A9E"/>
    <w:rsid w:val="006C01CC"/>
    <w:rsid w:val="006C0947"/>
    <w:rsid w:val="006C7013"/>
    <w:rsid w:val="006E29D4"/>
    <w:rsid w:val="006E2C02"/>
    <w:rsid w:val="00700C77"/>
    <w:rsid w:val="00703C38"/>
    <w:rsid w:val="00744451"/>
    <w:rsid w:val="00746AC1"/>
    <w:rsid w:val="00753CDA"/>
    <w:rsid w:val="00761C51"/>
    <w:rsid w:val="007741B6"/>
    <w:rsid w:val="007760E8"/>
    <w:rsid w:val="0078030F"/>
    <w:rsid w:val="00783EC5"/>
    <w:rsid w:val="00784599"/>
    <w:rsid w:val="00784F5E"/>
    <w:rsid w:val="007A17D1"/>
    <w:rsid w:val="007C0694"/>
    <w:rsid w:val="007C0DF3"/>
    <w:rsid w:val="007D3F15"/>
    <w:rsid w:val="007D4134"/>
    <w:rsid w:val="007D530D"/>
    <w:rsid w:val="007D54E4"/>
    <w:rsid w:val="007D7453"/>
    <w:rsid w:val="007E1068"/>
    <w:rsid w:val="007E2160"/>
    <w:rsid w:val="007E3162"/>
    <w:rsid w:val="007F11DA"/>
    <w:rsid w:val="008049D9"/>
    <w:rsid w:val="008102C8"/>
    <w:rsid w:val="008139E8"/>
    <w:rsid w:val="0082005F"/>
    <w:rsid w:val="0082782E"/>
    <w:rsid w:val="00833FE8"/>
    <w:rsid w:val="00836D9B"/>
    <w:rsid w:val="008465A0"/>
    <w:rsid w:val="00850224"/>
    <w:rsid w:val="008562E7"/>
    <w:rsid w:val="008571B5"/>
    <w:rsid w:val="0086216B"/>
    <w:rsid w:val="0086612D"/>
    <w:rsid w:val="00871B54"/>
    <w:rsid w:val="008720F2"/>
    <w:rsid w:val="00880C03"/>
    <w:rsid w:val="00881FBD"/>
    <w:rsid w:val="0089082E"/>
    <w:rsid w:val="008967A7"/>
    <w:rsid w:val="008A1BD4"/>
    <w:rsid w:val="008A29CC"/>
    <w:rsid w:val="008A6B1A"/>
    <w:rsid w:val="008D28A3"/>
    <w:rsid w:val="008E017C"/>
    <w:rsid w:val="008E29B6"/>
    <w:rsid w:val="008E7241"/>
    <w:rsid w:val="008F778C"/>
    <w:rsid w:val="0090163F"/>
    <w:rsid w:val="00913190"/>
    <w:rsid w:val="009202A4"/>
    <w:rsid w:val="009239E4"/>
    <w:rsid w:val="00931335"/>
    <w:rsid w:val="00932EF7"/>
    <w:rsid w:val="00936F3D"/>
    <w:rsid w:val="00937C6B"/>
    <w:rsid w:val="0094069F"/>
    <w:rsid w:val="009463A8"/>
    <w:rsid w:val="009531CC"/>
    <w:rsid w:val="009532E2"/>
    <w:rsid w:val="00953B8E"/>
    <w:rsid w:val="00971016"/>
    <w:rsid w:val="00990B53"/>
    <w:rsid w:val="00993572"/>
    <w:rsid w:val="009952AE"/>
    <w:rsid w:val="009C019B"/>
    <w:rsid w:val="009C2207"/>
    <w:rsid w:val="009C2E76"/>
    <w:rsid w:val="009C507A"/>
    <w:rsid w:val="009C6EBC"/>
    <w:rsid w:val="009D0A36"/>
    <w:rsid w:val="009D1ED7"/>
    <w:rsid w:val="009D3160"/>
    <w:rsid w:val="009D7010"/>
    <w:rsid w:val="009F36DA"/>
    <w:rsid w:val="00A1046B"/>
    <w:rsid w:val="00A137F3"/>
    <w:rsid w:val="00A16641"/>
    <w:rsid w:val="00A23450"/>
    <w:rsid w:val="00A23B49"/>
    <w:rsid w:val="00A32D66"/>
    <w:rsid w:val="00A64E9E"/>
    <w:rsid w:val="00A75722"/>
    <w:rsid w:val="00A972A7"/>
    <w:rsid w:val="00AA28B9"/>
    <w:rsid w:val="00AB1F1D"/>
    <w:rsid w:val="00AB34B1"/>
    <w:rsid w:val="00AB5892"/>
    <w:rsid w:val="00AC022E"/>
    <w:rsid w:val="00AD4B72"/>
    <w:rsid w:val="00AD62FB"/>
    <w:rsid w:val="00AD6931"/>
    <w:rsid w:val="00AE3D97"/>
    <w:rsid w:val="00AE5E2C"/>
    <w:rsid w:val="00AF371B"/>
    <w:rsid w:val="00AF7152"/>
    <w:rsid w:val="00B10374"/>
    <w:rsid w:val="00B140D6"/>
    <w:rsid w:val="00B23ED7"/>
    <w:rsid w:val="00B55277"/>
    <w:rsid w:val="00B60622"/>
    <w:rsid w:val="00B63941"/>
    <w:rsid w:val="00B75866"/>
    <w:rsid w:val="00B82AB8"/>
    <w:rsid w:val="00B85958"/>
    <w:rsid w:val="00B85EA4"/>
    <w:rsid w:val="00B86014"/>
    <w:rsid w:val="00B8626A"/>
    <w:rsid w:val="00B86A89"/>
    <w:rsid w:val="00B91E68"/>
    <w:rsid w:val="00B948BE"/>
    <w:rsid w:val="00B977B7"/>
    <w:rsid w:val="00BA00DE"/>
    <w:rsid w:val="00BA41B0"/>
    <w:rsid w:val="00BA4F18"/>
    <w:rsid w:val="00BB3266"/>
    <w:rsid w:val="00BC32F0"/>
    <w:rsid w:val="00BC53DB"/>
    <w:rsid w:val="00BD0AEE"/>
    <w:rsid w:val="00BF1FE3"/>
    <w:rsid w:val="00BF53F8"/>
    <w:rsid w:val="00BF5C3B"/>
    <w:rsid w:val="00C0107F"/>
    <w:rsid w:val="00C014A6"/>
    <w:rsid w:val="00C04C84"/>
    <w:rsid w:val="00C0631A"/>
    <w:rsid w:val="00C06D19"/>
    <w:rsid w:val="00C12634"/>
    <w:rsid w:val="00C151CD"/>
    <w:rsid w:val="00C22A22"/>
    <w:rsid w:val="00C2652E"/>
    <w:rsid w:val="00C27F06"/>
    <w:rsid w:val="00C3121A"/>
    <w:rsid w:val="00C40CDE"/>
    <w:rsid w:val="00C4178B"/>
    <w:rsid w:val="00C46B59"/>
    <w:rsid w:val="00C52A05"/>
    <w:rsid w:val="00C53C2B"/>
    <w:rsid w:val="00C6300D"/>
    <w:rsid w:val="00C65FCE"/>
    <w:rsid w:val="00C72C6C"/>
    <w:rsid w:val="00C73190"/>
    <w:rsid w:val="00C74C13"/>
    <w:rsid w:val="00C80C40"/>
    <w:rsid w:val="00C867F9"/>
    <w:rsid w:val="00C8777B"/>
    <w:rsid w:val="00C91F46"/>
    <w:rsid w:val="00C94EAB"/>
    <w:rsid w:val="00C9784D"/>
    <w:rsid w:val="00CA3F9D"/>
    <w:rsid w:val="00CA62CA"/>
    <w:rsid w:val="00CE3ABA"/>
    <w:rsid w:val="00CE6FAC"/>
    <w:rsid w:val="00CE7311"/>
    <w:rsid w:val="00CF5A56"/>
    <w:rsid w:val="00D029FA"/>
    <w:rsid w:val="00D02E61"/>
    <w:rsid w:val="00D04200"/>
    <w:rsid w:val="00D061B1"/>
    <w:rsid w:val="00D11301"/>
    <w:rsid w:val="00D2073B"/>
    <w:rsid w:val="00D24244"/>
    <w:rsid w:val="00D251E1"/>
    <w:rsid w:val="00D27694"/>
    <w:rsid w:val="00D27CC6"/>
    <w:rsid w:val="00D30BD8"/>
    <w:rsid w:val="00D47D79"/>
    <w:rsid w:val="00D5232D"/>
    <w:rsid w:val="00D70B3D"/>
    <w:rsid w:val="00D7604C"/>
    <w:rsid w:val="00D85BAB"/>
    <w:rsid w:val="00D87467"/>
    <w:rsid w:val="00D87471"/>
    <w:rsid w:val="00D93347"/>
    <w:rsid w:val="00DA3112"/>
    <w:rsid w:val="00DB4BB7"/>
    <w:rsid w:val="00DC431E"/>
    <w:rsid w:val="00DC5D7C"/>
    <w:rsid w:val="00DD3B40"/>
    <w:rsid w:val="00DE2015"/>
    <w:rsid w:val="00E025B4"/>
    <w:rsid w:val="00E07322"/>
    <w:rsid w:val="00E107A0"/>
    <w:rsid w:val="00E11144"/>
    <w:rsid w:val="00E14F39"/>
    <w:rsid w:val="00E25802"/>
    <w:rsid w:val="00E2735E"/>
    <w:rsid w:val="00E5578B"/>
    <w:rsid w:val="00E60F1F"/>
    <w:rsid w:val="00E81515"/>
    <w:rsid w:val="00E84EEE"/>
    <w:rsid w:val="00E85F3B"/>
    <w:rsid w:val="00EB075B"/>
    <w:rsid w:val="00EB66DB"/>
    <w:rsid w:val="00EC7E06"/>
    <w:rsid w:val="00ED343E"/>
    <w:rsid w:val="00EE2C48"/>
    <w:rsid w:val="00EE33CE"/>
    <w:rsid w:val="00EE40B1"/>
    <w:rsid w:val="00EF4076"/>
    <w:rsid w:val="00EF574B"/>
    <w:rsid w:val="00EF5A80"/>
    <w:rsid w:val="00F0225E"/>
    <w:rsid w:val="00F04492"/>
    <w:rsid w:val="00F04EEC"/>
    <w:rsid w:val="00F06DED"/>
    <w:rsid w:val="00F1386D"/>
    <w:rsid w:val="00F14B91"/>
    <w:rsid w:val="00F21B60"/>
    <w:rsid w:val="00F254C9"/>
    <w:rsid w:val="00F33D39"/>
    <w:rsid w:val="00F351B7"/>
    <w:rsid w:val="00F414B8"/>
    <w:rsid w:val="00F46D51"/>
    <w:rsid w:val="00F479C7"/>
    <w:rsid w:val="00F50BE9"/>
    <w:rsid w:val="00F531EB"/>
    <w:rsid w:val="00F60D82"/>
    <w:rsid w:val="00F62B8E"/>
    <w:rsid w:val="00F62C22"/>
    <w:rsid w:val="00F65B21"/>
    <w:rsid w:val="00F720C3"/>
    <w:rsid w:val="00F82647"/>
    <w:rsid w:val="00F851E1"/>
    <w:rsid w:val="00F85FFF"/>
    <w:rsid w:val="00F93978"/>
    <w:rsid w:val="00F952B8"/>
    <w:rsid w:val="00F9544B"/>
    <w:rsid w:val="00F96B03"/>
    <w:rsid w:val="00FA099E"/>
    <w:rsid w:val="00FA5501"/>
    <w:rsid w:val="00FA750C"/>
    <w:rsid w:val="00FB4378"/>
    <w:rsid w:val="00FB5B62"/>
    <w:rsid w:val="00FC1777"/>
    <w:rsid w:val="00FC3C2C"/>
    <w:rsid w:val="00FD0F52"/>
    <w:rsid w:val="00FD1129"/>
    <w:rsid w:val="00FD14FF"/>
    <w:rsid w:val="00FD44AE"/>
    <w:rsid w:val="00FE3525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10008-39E0-4F1B-A4AE-7335C2B4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ED7"/>
    <w:pPr>
      <w:spacing w:after="0" w:line="240" w:lineRule="auto"/>
    </w:pPr>
    <w:rPr>
      <w:rFonts w:ascii="Arial" w:eastAsia="Times New Roman" w:hAnsi="Arial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23E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24">
    <w:name w:val="CM24"/>
    <w:basedOn w:val="Default"/>
    <w:next w:val="Default"/>
    <w:rsid w:val="00B23ED7"/>
    <w:pPr>
      <w:spacing w:after="26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B23ED7"/>
    <w:pPr>
      <w:spacing w:line="278" w:lineRule="atLeast"/>
    </w:pPr>
    <w:rPr>
      <w:rFonts w:cs="Times New Roman"/>
      <w:color w:val="auto"/>
    </w:rPr>
  </w:style>
  <w:style w:type="paragraph" w:styleId="BodyText">
    <w:name w:val="Body Text"/>
    <w:basedOn w:val="Normal"/>
    <w:link w:val="BodyTextChar"/>
    <w:rsid w:val="00B23ED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3ED7"/>
    <w:rPr>
      <w:rFonts w:ascii="Arial" w:eastAsia="Times New Roman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B23ED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rsid w:val="00B23ED7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Tatalović Maja</dc:creator>
  <cp:keywords/>
  <dc:description/>
  <cp:lastModifiedBy>Radović Lagator Smiljana</cp:lastModifiedBy>
  <cp:revision>2</cp:revision>
  <dcterms:created xsi:type="dcterms:W3CDTF">2025-04-24T06:58:00Z</dcterms:created>
  <dcterms:modified xsi:type="dcterms:W3CDTF">2025-04-24T06:58:00Z</dcterms:modified>
</cp:coreProperties>
</file>