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286" w:rsidRPr="002202CD" w:rsidRDefault="00833286" w:rsidP="00C47D3F">
      <w:pPr>
        <w:rPr>
          <w:rFonts w:ascii="Arial" w:eastAsia="Arial" w:hAnsi="Arial" w:cs="Arial"/>
          <w:b/>
        </w:rPr>
      </w:pPr>
      <w:bookmarkStart w:id="0" w:name="_GoBack"/>
      <w:bookmarkEnd w:id="0"/>
    </w:p>
    <w:tbl>
      <w:tblPr>
        <w:tblW w:w="10490" w:type="dxa"/>
        <w:tblInd w:w="-743" w:type="dxa"/>
        <w:tblBorders>
          <w:top w:val="single" w:sz="18" w:space="0" w:color="auto"/>
          <w:left w:val="single" w:sz="18" w:space="0" w:color="auto"/>
          <w:bottom w:val="single" w:sz="18" w:space="0" w:color="auto"/>
          <w:right w:val="single" w:sz="18" w:space="0" w:color="auto"/>
          <w:insideH w:val="single" w:sz="2" w:space="0" w:color="auto"/>
          <w:insideV w:val="single" w:sz="12" w:space="0" w:color="auto"/>
        </w:tblBorders>
        <w:tblLook w:val="04A0" w:firstRow="1" w:lastRow="0" w:firstColumn="1" w:lastColumn="0" w:noHBand="0" w:noVBand="1"/>
      </w:tblPr>
      <w:tblGrid>
        <w:gridCol w:w="2095"/>
        <w:gridCol w:w="8395"/>
      </w:tblGrid>
      <w:tr w:rsidR="00833286" w:rsidRPr="002202CD" w:rsidTr="006C5090">
        <w:trPr>
          <w:trHeight w:val="416"/>
        </w:trPr>
        <w:tc>
          <w:tcPr>
            <w:tcW w:w="10490" w:type="dxa"/>
            <w:gridSpan w:val="2"/>
            <w:tcBorders>
              <w:top w:val="single" w:sz="18" w:space="0" w:color="auto"/>
              <w:left w:val="single" w:sz="18" w:space="0" w:color="auto"/>
              <w:bottom w:val="single" w:sz="2" w:space="0" w:color="auto"/>
              <w:right w:val="single" w:sz="18" w:space="0" w:color="auto"/>
            </w:tcBorders>
            <w:vAlign w:val="center"/>
            <w:hideMark/>
          </w:tcPr>
          <w:p w:rsidR="00833286" w:rsidRPr="002202CD" w:rsidRDefault="00833286" w:rsidP="00833286">
            <w:pPr>
              <w:jc w:val="center"/>
              <w:rPr>
                <w:rFonts w:ascii="Arial" w:hAnsi="Arial" w:cs="Arial"/>
                <w:b/>
                <w:lang w:val="hr-HR"/>
              </w:rPr>
            </w:pPr>
            <w:r w:rsidRPr="002202CD">
              <w:rPr>
                <w:rFonts w:ascii="Arial" w:hAnsi="Arial" w:cs="Arial"/>
                <w:b/>
                <w:lang w:val="hr-HR"/>
              </w:rPr>
              <w:t>IZVJEŠĆE O PROVEDENOM SAVJETOVANJU SA JAVNOŠĆU</w:t>
            </w:r>
          </w:p>
        </w:tc>
      </w:tr>
      <w:tr w:rsidR="00833286" w:rsidRPr="002202CD" w:rsidTr="006C5090">
        <w:trPr>
          <w:trHeight w:val="415"/>
        </w:trPr>
        <w:tc>
          <w:tcPr>
            <w:tcW w:w="10490" w:type="dxa"/>
            <w:gridSpan w:val="2"/>
            <w:tcBorders>
              <w:top w:val="single" w:sz="2" w:space="0" w:color="auto"/>
              <w:left w:val="single" w:sz="18" w:space="0" w:color="auto"/>
              <w:bottom w:val="single" w:sz="2" w:space="0" w:color="auto"/>
              <w:right w:val="single" w:sz="18" w:space="0" w:color="auto"/>
            </w:tcBorders>
            <w:vAlign w:val="center"/>
            <w:hideMark/>
          </w:tcPr>
          <w:p w:rsidR="00833286" w:rsidRPr="002202CD" w:rsidRDefault="00833286" w:rsidP="00833286">
            <w:pPr>
              <w:ind w:left="1410" w:hanging="1410"/>
              <w:jc w:val="both"/>
              <w:rPr>
                <w:rFonts w:ascii="Arial" w:hAnsi="Arial" w:cs="Arial"/>
                <w:lang w:val="hr-HR"/>
              </w:rPr>
            </w:pPr>
            <w:r w:rsidRPr="002202CD">
              <w:rPr>
                <w:rFonts w:ascii="Arial" w:hAnsi="Arial" w:cs="Arial"/>
                <w:lang w:val="hr-HR"/>
              </w:rPr>
              <w:t xml:space="preserve">Naziv akta o kojem je savjetovanje provedeno: </w:t>
            </w:r>
          </w:p>
          <w:p w:rsidR="00833286" w:rsidRPr="002202CD" w:rsidRDefault="00833286" w:rsidP="00833286">
            <w:pPr>
              <w:rPr>
                <w:rFonts w:ascii="Arial" w:hAnsi="Arial" w:cs="Arial"/>
                <w:lang w:val="hr-HR"/>
              </w:rPr>
            </w:pPr>
            <w:r w:rsidRPr="002202CD">
              <w:rPr>
                <w:rFonts w:ascii="Arial" w:hAnsi="Arial" w:cs="Arial"/>
                <w:lang w:val="hr-HR"/>
              </w:rPr>
              <w:t>Nacrt prijedloga Izmjena i dopune Plana upravljanja pomorskim dobrom na području grada Rijeke za razdoblje 2024.-2028. godine</w:t>
            </w:r>
          </w:p>
        </w:tc>
      </w:tr>
      <w:tr w:rsidR="00833286" w:rsidRPr="002202CD" w:rsidTr="006C5090">
        <w:trPr>
          <w:trHeight w:val="845"/>
        </w:trPr>
        <w:tc>
          <w:tcPr>
            <w:tcW w:w="10490" w:type="dxa"/>
            <w:gridSpan w:val="2"/>
            <w:tcBorders>
              <w:top w:val="single" w:sz="2" w:space="0" w:color="auto"/>
              <w:left w:val="single" w:sz="18" w:space="0" w:color="auto"/>
              <w:bottom w:val="single" w:sz="12" w:space="0" w:color="auto"/>
              <w:right w:val="single" w:sz="18" w:space="0" w:color="auto"/>
            </w:tcBorders>
            <w:vAlign w:val="center"/>
            <w:hideMark/>
          </w:tcPr>
          <w:p w:rsidR="00833286" w:rsidRPr="002202CD" w:rsidRDefault="00833286" w:rsidP="00833286">
            <w:pPr>
              <w:jc w:val="both"/>
              <w:rPr>
                <w:rFonts w:ascii="Arial" w:hAnsi="Arial" w:cs="Arial"/>
                <w:lang w:val="hr-HR"/>
              </w:rPr>
            </w:pPr>
            <w:r w:rsidRPr="002202CD">
              <w:rPr>
                <w:rFonts w:ascii="Arial" w:hAnsi="Arial" w:cs="Arial"/>
                <w:lang w:val="hr-HR"/>
              </w:rPr>
              <w:t>Vrijeme trajanja savjetovanja: Savjetovanje je provedeno u trajanju od 30 dana odnosno od dana 30. lipnja 2026. godine pa do dana 30. srpnja 2026. godine.</w:t>
            </w:r>
          </w:p>
        </w:tc>
      </w:tr>
      <w:tr w:rsidR="00833286" w:rsidRPr="002202CD" w:rsidTr="006C5090">
        <w:trPr>
          <w:trHeight w:val="845"/>
        </w:trPr>
        <w:tc>
          <w:tcPr>
            <w:tcW w:w="2095" w:type="dxa"/>
            <w:tcBorders>
              <w:top w:val="single" w:sz="12" w:space="0" w:color="auto"/>
              <w:left w:val="single" w:sz="18" w:space="0" w:color="auto"/>
              <w:bottom w:val="single" w:sz="18" w:space="0" w:color="auto"/>
              <w:right w:val="single" w:sz="12" w:space="0" w:color="auto"/>
            </w:tcBorders>
            <w:vAlign w:val="center"/>
            <w:hideMark/>
          </w:tcPr>
          <w:p w:rsidR="00833286" w:rsidRPr="002202CD" w:rsidRDefault="00833286" w:rsidP="00833286">
            <w:pPr>
              <w:jc w:val="center"/>
              <w:rPr>
                <w:rFonts w:ascii="Arial" w:hAnsi="Arial" w:cs="Arial"/>
                <w:lang w:val="hr-HR"/>
              </w:rPr>
            </w:pPr>
            <w:r w:rsidRPr="002202CD">
              <w:rPr>
                <w:rFonts w:ascii="Arial" w:hAnsi="Arial" w:cs="Arial"/>
                <w:lang w:val="hr-HR"/>
              </w:rPr>
              <w:t>Cilj i glavne teme savjetovanja</w:t>
            </w:r>
          </w:p>
        </w:tc>
        <w:tc>
          <w:tcPr>
            <w:tcW w:w="8395" w:type="dxa"/>
            <w:tcBorders>
              <w:top w:val="single" w:sz="12" w:space="0" w:color="auto"/>
              <w:left w:val="single" w:sz="12" w:space="0" w:color="auto"/>
              <w:bottom w:val="single" w:sz="18" w:space="0" w:color="auto"/>
              <w:right w:val="single" w:sz="18" w:space="0" w:color="auto"/>
            </w:tcBorders>
            <w:vAlign w:val="center"/>
            <w:hideMark/>
          </w:tcPr>
          <w:p w:rsidR="00833286" w:rsidRPr="002202CD" w:rsidRDefault="00833286" w:rsidP="00833286">
            <w:pPr>
              <w:jc w:val="both"/>
              <w:rPr>
                <w:rFonts w:ascii="Arial" w:hAnsi="Arial" w:cs="Arial"/>
                <w:lang w:val="hr-HR"/>
              </w:rPr>
            </w:pPr>
            <w:r w:rsidRPr="002202CD">
              <w:rPr>
                <w:rFonts w:ascii="Arial" w:hAnsi="Arial" w:cs="Arial"/>
                <w:lang w:val="hr-HR"/>
              </w:rPr>
              <w:t>Osnovni cilj savjetovanja bio je dobivanje povratnih informacija od javnosti u svezi rješenja predloženih Nacrtom prijedloga Izmjena i dopune Plana upravljanja pomorskim dobrom na području grada Rijeke za razdoblje 2024.-2028. godine</w:t>
            </w:r>
          </w:p>
        </w:tc>
      </w:tr>
    </w:tbl>
    <w:p w:rsidR="00833286" w:rsidRPr="002202CD" w:rsidRDefault="00833286" w:rsidP="00833286">
      <w:pPr>
        <w:rPr>
          <w:rFonts w:ascii="Arial" w:hAnsi="Arial" w:cs="Arial"/>
          <w:lang w:val="hr-HR"/>
        </w:rPr>
      </w:pPr>
    </w:p>
    <w:p w:rsidR="00833286" w:rsidRPr="002202CD" w:rsidRDefault="00833286" w:rsidP="00833286">
      <w:pPr>
        <w:rPr>
          <w:rFonts w:ascii="Arial" w:hAnsi="Arial" w:cs="Arial"/>
          <w:lang w:val="hr-HR"/>
        </w:rPr>
      </w:pPr>
    </w:p>
    <w:tbl>
      <w:tblPr>
        <w:tblStyle w:val="TableGrid1"/>
        <w:tblW w:w="10490" w:type="dxa"/>
        <w:tblInd w:w="-714" w:type="dxa"/>
        <w:tblLook w:val="04A0" w:firstRow="1" w:lastRow="0" w:firstColumn="1" w:lastColumn="0" w:noHBand="0" w:noVBand="1"/>
      </w:tblPr>
      <w:tblGrid>
        <w:gridCol w:w="791"/>
        <w:gridCol w:w="1613"/>
        <w:gridCol w:w="1668"/>
        <w:gridCol w:w="3217"/>
        <w:gridCol w:w="3201"/>
      </w:tblGrid>
      <w:tr w:rsidR="00833286" w:rsidRPr="002202CD" w:rsidTr="006C5090">
        <w:tc>
          <w:tcPr>
            <w:tcW w:w="791" w:type="dxa"/>
          </w:tcPr>
          <w:p w:rsidR="00833286" w:rsidRPr="002202CD" w:rsidRDefault="00833286" w:rsidP="00833286">
            <w:pPr>
              <w:rPr>
                <w:rFonts w:ascii="Arial" w:hAnsi="Arial" w:cs="Arial"/>
                <w:szCs w:val="20"/>
              </w:rPr>
            </w:pPr>
            <w:r w:rsidRPr="002202CD">
              <w:rPr>
                <w:rFonts w:ascii="Arial" w:hAnsi="Arial" w:cs="Arial"/>
                <w:szCs w:val="20"/>
              </w:rPr>
              <w:t>Redni broj</w:t>
            </w:r>
          </w:p>
        </w:tc>
        <w:tc>
          <w:tcPr>
            <w:tcW w:w="1664" w:type="dxa"/>
            <w:vAlign w:val="center"/>
          </w:tcPr>
          <w:p w:rsidR="00833286" w:rsidRPr="002202CD" w:rsidRDefault="00833286" w:rsidP="00833286">
            <w:pPr>
              <w:jc w:val="center"/>
              <w:rPr>
                <w:rFonts w:ascii="Arial" w:hAnsi="Arial" w:cs="Arial"/>
              </w:rPr>
            </w:pPr>
            <w:r w:rsidRPr="002202CD">
              <w:rPr>
                <w:rFonts w:ascii="Arial" w:hAnsi="Arial" w:cs="Arial"/>
              </w:rPr>
              <w:t>Naziv dionika (pojedinac, organizacija, institucija)</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na koji se odnosi primjedba/</w:t>
            </w:r>
          </w:p>
          <w:p w:rsidR="00833286" w:rsidRPr="002202CD" w:rsidRDefault="00833286" w:rsidP="00833286">
            <w:pPr>
              <w:jc w:val="center"/>
              <w:rPr>
                <w:rFonts w:ascii="Arial" w:hAnsi="Arial" w:cs="Arial"/>
              </w:rPr>
            </w:pPr>
            <w:r w:rsidRPr="002202CD">
              <w:rPr>
                <w:rFonts w:ascii="Arial" w:hAnsi="Arial" w:cs="Arial"/>
              </w:rPr>
              <w:t>prijedlog</w:t>
            </w:r>
          </w:p>
        </w:tc>
        <w:tc>
          <w:tcPr>
            <w:tcW w:w="3540" w:type="dxa"/>
            <w:vAlign w:val="center"/>
          </w:tcPr>
          <w:p w:rsidR="00833286" w:rsidRPr="002202CD" w:rsidRDefault="00833286" w:rsidP="00833286">
            <w:pPr>
              <w:jc w:val="center"/>
              <w:rPr>
                <w:rFonts w:ascii="Arial" w:hAnsi="Arial" w:cs="Arial"/>
              </w:rPr>
            </w:pPr>
            <w:r w:rsidRPr="002202CD">
              <w:rPr>
                <w:rFonts w:ascii="Arial" w:hAnsi="Arial" w:cs="Arial"/>
              </w:rPr>
              <w:t>Tekst primjedbe/prijedloga</w:t>
            </w:r>
          </w:p>
        </w:tc>
        <w:tc>
          <w:tcPr>
            <w:tcW w:w="2693" w:type="dxa"/>
            <w:vAlign w:val="center"/>
          </w:tcPr>
          <w:p w:rsidR="00833286" w:rsidRPr="002202CD" w:rsidRDefault="00833286" w:rsidP="00833286">
            <w:pPr>
              <w:jc w:val="center"/>
              <w:rPr>
                <w:rFonts w:ascii="Arial" w:hAnsi="Arial" w:cs="Arial"/>
              </w:rPr>
            </w:pPr>
            <w:r w:rsidRPr="002202CD">
              <w:rPr>
                <w:rFonts w:ascii="Arial" w:hAnsi="Arial" w:cs="Arial"/>
              </w:rPr>
              <w:t>Prihvaćanje/ neprihvaćanje primjedbe ili prijedloga</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rPr>
            </w:pPr>
            <w:r w:rsidRPr="002202CD">
              <w:rPr>
                <w:rFonts w:ascii="Arial" w:hAnsi="Arial" w:cs="Arial"/>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5. i Članak 6.</w:t>
            </w:r>
          </w:p>
        </w:tc>
        <w:tc>
          <w:tcPr>
            <w:tcW w:w="3540" w:type="dxa"/>
            <w:vAlign w:val="center"/>
          </w:tcPr>
          <w:p w:rsidR="00833286" w:rsidRPr="002202CD" w:rsidRDefault="00833286" w:rsidP="00833286">
            <w:pPr>
              <w:jc w:val="both"/>
              <w:rPr>
                <w:rFonts w:ascii="Arial" w:hAnsi="Arial" w:cs="Arial"/>
              </w:rPr>
            </w:pPr>
            <w:r w:rsidRPr="002202CD">
              <w:rPr>
                <w:rFonts w:ascii="Arial" w:hAnsi="Arial" w:cs="Arial"/>
              </w:rPr>
              <w:t>„Uvođenje godišnjeg prikaza (godišnje dinamike): Plan obuhvaća petogodišnje razdoblje (2024.–2028.), no financijska sredstva za radove održavanja (Članak 5.) i gradnje (Članak 6.) prikazana su isključivo u ukupnim kumulativnim iznosima za cijelo razdoblje. Predlaže se dodavanje tabličnog prikaza razrađenog po godinama (godišnja dinamika trošenja sredstava) kako bi se osigurala veća transparentnost i omogućilo lakše praćenje izvršenja plana.“</w:t>
            </w:r>
          </w:p>
          <w:p w:rsidR="00833286" w:rsidRPr="002202CD" w:rsidRDefault="00833286" w:rsidP="00833286">
            <w:pPr>
              <w:jc w:val="center"/>
              <w:rPr>
                <w:rFonts w:ascii="Arial" w:hAnsi="Arial" w:cs="Arial"/>
              </w:rPr>
            </w:pPr>
          </w:p>
        </w:tc>
        <w:tc>
          <w:tcPr>
            <w:tcW w:w="2693" w:type="dxa"/>
            <w:vAlign w:val="center"/>
          </w:tcPr>
          <w:p w:rsidR="00833286" w:rsidRPr="002202CD" w:rsidRDefault="00833286" w:rsidP="00833286">
            <w:pPr>
              <w:rPr>
                <w:rFonts w:ascii="Arial" w:hAnsi="Arial" w:cs="Arial"/>
              </w:rPr>
            </w:pPr>
            <w:r w:rsidRPr="002202CD">
              <w:rPr>
                <w:rFonts w:ascii="Arial" w:hAnsi="Arial" w:cs="Arial"/>
              </w:rPr>
              <w:t xml:space="preserve">Prijedlog je razmotren, te je utvrđeno da je Pravilnikom o sadržaju plana upravljanja pomorskim dobrom („Narodne novine“ broj 150/23) utvrđeno koje elemente plan upravljanja mora sadržavati za petogodišnje razdoblje. Predmetnim Pravilnikom utvrđeno je kako planirane aktivnosti na pomorskom dobru uključuju sažeti prikaz aktivnosti koje se planiraju na pomorskom dobru u petogodišnjem razdoblju. Dakle, sam Pravilnik podrazumijeva da planirane aktivnosti budu navedene sažeto i u petogodišnjem razdoblju. Također, s obzirom da se Plan donosi za petogodišnje razdoblje u istome se navode procijenjeni iznosi koje se upravo na to razdoblje i odnose, pri čemu je s obzirom na duljinu razdoblja na koji se Plan odnosi otežavajuće utvrditi iznose za svaku godinu. U tom smislu navođenje godišnje dinamike trošenja sredstava, posebice u kasnijim godinama važenja Plana ne bi omogućilo veću transparentnost i lakše praćenje, već upravo suprotno. </w:t>
            </w:r>
            <w:r w:rsidR="006A5AB1" w:rsidRPr="002202CD">
              <w:rPr>
                <w:rFonts w:ascii="Arial" w:hAnsi="Arial" w:cs="Arial"/>
              </w:rPr>
              <w:t xml:space="preserve">Slijedom iznesenog pojašnjenja </w:t>
            </w:r>
            <w:r w:rsidR="006C5090" w:rsidRPr="002202CD">
              <w:rPr>
                <w:rFonts w:ascii="Arial" w:hAnsi="Arial" w:cs="Arial"/>
              </w:rPr>
              <w:t>prijedlog</w:t>
            </w:r>
            <w:r w:rsidR="00DC328E" w:rsidRPr="002202CD">
              <w:rPr>
                <w:rFonts w:ascii="Arial" w:hAnsi="Arial" w:cs="Arial"/>
              </w:rPr>
              <w:t xml:space="preserve"> nije prihvaćen.</w:t>
            </w:r>
          </w:p>
          <w:p w:rsidR="00833286" w:rsidRPr="002202CD" w:rsidRDefault="00833286" w:rsidP="00833286">
            <w:pPr>
              <w:jc w:val="center"/>
              <w:rPr>
                <w:rFonts w:ascii="Arial" w:hAnsi="Arial" w:cs="Arial"/>
              </w:rPr>
            </w:pP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rPr>
            </w:pPr>
            <w:r w:rsidRPr="002202CD">
              <w:rPr>
                <w:rFonts w:ascii="Arial" w:hAnsi="Arial" w:cs="Arial"/>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5. stavak 4.</w:t>
            </w:r>
          </w:p>
          <w:p w:rsidR="00833286" w:rsidRPr="002202CD" w:rsidRDefault="00833286" w:rsidP="00833286">
            <w:pPr>
              <w:jc w:val="center"/>
              <w:rPr>
                <w:rFonts w:ascii="Arial" w:hAnsi="Arial" w:cs="Arial"/>
              </w:rPr>
            </w:pPr>
          </w:p>
        </w:tc>
        <w:tc>
          <w:tcPr>
            <w:tcW w:w="3540" w:type="dxa"/>
            <w:vAlign w:val="center"/>
          </w:tcPr>
          <w:p w:rsidR="00833286" w:rsidRPr="002202CD" w:rsidRDefault="00833286" w:rsidP="00833286">
            <w:pPr>
              <w:jc w:val="both"/>
              <w:rPr>
                <w:rFonts w:ascii="Arial" w:hAnsi="Arial" w:cs="Arial"/>
              </w:rPr>
            </w:pPr>
            <w:r w:rsidRPr="002202CD">
              <w:rPr>
                <w:rFonts w:ascii="Arial" w:hAnsi="Arial" w:cs="Arial"/>
              </w:rPr>
              <w:t>„Spremnici za odvojeno prikupljanje otpada: U Članku 5. (stavka 4.) predviđen je ukupan iznos od samo 4.000,00 € za postavljanje spremnika za odvojeno prikupljanje otpada za cijelo petogodišnje razdoblje. S obzirom na duljinu razdoblja i duljinu obalnog pojasa u Rijeci, ovaj iznos je iznimno nizak (manje od 1.000 € godišnje) te ga je potrebno znatno povećati kako bi se zadovoljili ekološki standardi i potaknulo odvajanje otpada na plažama“</w:t>
            </w:r>
          </w:p>
        </w:tc>
        <w:tc>
          <w:tcPr>
            <w:tcW w:w="2693" w:type="dxa"/>
            <w:vAlign w:val="center"/>
          </w:tcPr>
          <w:p w:rsidR="00833286" w:rsidRPr="002202CD" w:rsidRDefault="00833286" w:rsidP="00C73171">
            <w:pPr>
              <w:rPr>
                <w:rFonts w:ascii="Arial" w:hAnsi="Arial" w:cs="Arial"/>
              </w:rPr>
            </w:pPr>
            <w:r w:rsidRPr="002202CD">
              <w:rPr>
                <w:rFonts w:ascii="Arial" w:hAnsi="Arial" w:cs="Arial"/>
              </w:rPr>
              <w:t>Prijedlog je razmotren te svakako treba uvažiti važnost zadovoljenja ekoloških standarda i poticanje na odvajanje otpada na plažama. Financijska sredstva predviđena odredbama Plana odnose se na postavljanje spremnika sukladno trenutnom stanju, dok se u narednom razdoblju planira na osnovu iskustava sa odvajanjem otpada na području grada Rijeke prilikom uvođenja individualnog sustava gospodarenja komunalnim otpadom sagledati istu problematiku i na plažama na području grada te predložiti rješenja za koje će se po potrebi osigurati i dodatna sredstva.</w:t>
            </w:r>
            <w:r w:rsidR="00DC328E" w:rsidRPr="002202CD">
              <w:t xml:space="preserve"> </w:t>
            </w:r>
            <w:r w:rsidR="00C73171" w:rsidRPr="002202CD">
              <w:rPr>
                <w:rFonts w:ascii="Arial" w:hAnsi="Arial" w:cs="Arial"/>
              </w:rPr>
              <w:t>Prijedlog je razmotren, međutim, u ovom trenutku nije prihvaćen. Kako je prethodno navedeno, za odvajanje otpada na plažama i osiguranje potrebnih spremnika već je predviđen određeni iznos sredstava koji je ocijenjen kao dostatan. Na temelju iskustava stečenih uvođenjem sustava individualnog gospodarenja komunalnim otpadom te stvarnih troškova koji će nastati u praksi, procijeniti će se postoji li potreba za povećanjem osiguranih sredstava.</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rPr>
            </w:pPr>
            <w:r w:rsidRPr="002202CD">
              <w:rPr>
                <w:rFonts w:ascii="Arial" w:hAnsi="Arial" w:cs="Arial"/>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3. i članak 7.</w:t>
            </w:r>
          </w:p>
        </w:tc>
        <w:tc>
          <w:tcPr>
            <w:tcW w:w="3540" w:type="dxa"/>
            <w:vAlign w:val="center"/>
          </w:tcPr>
          <w:p w:rsidR="00833286" w:rsidRPr="002202CD" w:rsidRDefault="00833286" w:rsidP="00833286">
            <w:pPr>
              <w:rPr>
                <w:rFonts w:ascii="Arial" w:hAnsi="Arial" w:cs="Arial"/>
              </w:rPr>
            </w:pPr>
            <w:r w:rsidRPr="002202CD">
              <w:rPr>
                <w:rFonts w:ascii="Arial" w:hAnsi="Arial" w:cs="Arial"/>
              </w:rPr>
              <w:t>„Otklanjanje pravne redundantnosti (Članci 3. i 7.) Preklapanje obveza ovlaštenika dozvole:</w:t>
            </w:r>
            <w:r w:rsidRPr="002202CD">
              <w:rPr>
                <w:rFonts w:ascii="Arial" w:hAnsi="Arial" w:cs="Arial"/>
              </w:rPr>
              <w:br/>
              <w:t xml:space="preserve">Članak 3. (kojim se mijenja članak 4. stavak 2. izvornog Plana) propisuje da lokacije iz rješenja o dozvoli održava i čisti ovlaštenik dozvole. Gotovo identična obveza ponavlja se u Članku 7. (kojim se mijenja članak 14. stavak 3.). Predlaže se nomotehnički pročišćavati tekst kako se ista obveza ne bi prepisivala u dva različita članka, već da se u kasnijim poglavljima samo </w:t>
            </w:r>
            <w:r w:rsidRPr="002202CD">
              <w:rPr>
                <w:rFonts w:ascii="Arial" w:hAnsi="Arial" w:cs="Arial"/>
              </w:rPr>
              <w:lastRenderedPageBreak/>
              <w:t>referira na već utvrđenu obvezu.“</w:t>
            </w:r>
          </w:p>
          <w:p w:rsidR="00833286" w:rsidRPr="002202CD" w:rsidRDefault="00833286" w:rsidP="00833286">
            <w:pPr>
              <w:jc w:val="both"/>
              <w:rPr>
                <w:rFonts w:ascii="Arial" w:hAnsi="Arial" w:cs="Arial"/>
              </w:rPr>
            </w:pPr>
          </w:p>
        </w:tc>
        <w:tc>
          <w:tcPr>
            <w:tcW w:w="2693" w:type="dxa"/>
            <w:vAlign w:val="center"/>
          </w:tcPr>
          <w:p w:rsidR="00833286" w:rsidRPr="002202CD" w:rsidRDefault="00833286" w:rsidP="008D44B5">
            <w:pPr>
              <w:rPr>
                <w:rFonts w:ascii="Arial" w:hAnsi="Arial" w:cs="Arial"/>
              </w:rPr>
            </w:pPr>
            <w:r w:rsidRPr="002202CD">
              <w:rPr>
                <w:rFonts w:ascii="Arial" w:hAnsi="Arial" w:cs="Arial"/>
              </w:rPr>
              <w:lastRenderedPageBreak/>
              <w:t xml:space="preserve">Prijedlog je razmotren, međutim i članak 3. (kojim se mijenja članak 4. stavak 2. izvornog Plana) i članak 7. (kojim se mijenja članak 14. stavak 3.) izmijenjeni su sukladno uputi nadležnog Ministarstva, pri čemu Ministarstvo nije uputilo na pročišćavanje teksta na način kako je utvrđeno u ovom prijedlogu. </w:t>
            </w:r>
            <w:r w:rsidR="008D44B5" w:rsidRPr="002202CD">
              <w:rPr>
                <w:rFonts w:ascii="Arial" w:hAnsi="Arial" w:cs="Arial"/>
              </w:rPr>
              <w:t>Prijedlog nije prihvaćen.</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9.</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 xml:space="preserve">„Dugovanja prema komunalnim društvima: Članak 9. navodi da na natječaju ne može sudjelovati ponuditelj koji ima nepodmiren dug prema Gradu po bilo kojem osnovu. Predlaže se proširenje ove formulacije na način da obuhvaća i dugovanja prema trgovačkim društvima u (su)vlasništvu Grada Rijeke (KD Čistoća, Rijeka Plus, Energo i dr.). Često se događa da neodgovorni poslovni subjekti nemaju izravan dug prema samom proračunu Grada, ali imaju velika dugovanja prema gradskim komunalnim poduzećima. </w:t>
            </w:r>
          </w:p>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Vremensko ograničenje za prethodne prekršaje: U istom članku navodi se isključenje za ponuditelja koji je "koristio pomorsko dobro bez valjane pravne osnove i/ili uzrokovao štetu". Predlaže se uvođenje jasnog vremenskog ograničenja (npr. "u posljednje 3 godine" ili "u posljednje 5 godina"). Bez vremenskog okvira, ova odredba može značiti trajnu i doživotnu diskvalifikaciju ponuditelja za neki manji ili davno sanirani prekršaj, a znamo da se često ne javi doboljan broj ponuditelja na javne nabave. „</w:t>
            </w:r>
          </w:p>
          <w:p w:rsidR="00833286" w:rsidRPr="002202CD" w:rsidRDefault="00833286" w:rsidP="00833286">
            <w:pPr>
              <w:rPr>
                <w:rFonts w:ascii="Arial" w:hAnsi="Arial" w:cs="Arial"/>
              </w:rPr>
            </w:pPr>
          </w:p>
        </w:tc>
        <w:tc>
          <w:tcPr>
            <w:tcW w:w="2693" w:type="dxa"/>
            <w:vAlign w:val="center"/>
          </w:tcPr>
          <w:p w:rsidR="00833286" w:rsidRPr="002202CD" w:rsidRDefault="00833286" w:rsidP="00C73171">
            <w:pPr>
              <w:rPr>
                <w:rFonts w:ascii="Arial" w:hAnsi="Arial" w:cs="Arial"/>
              </w:rPr>
            </w:pPr>
            <w:r w:rsidRPr="002202CD">
              <w:rPr>
                <w:rFonts w:ascii="Arial" w:hAnsi="Arial" w:cs="Arial"/>
              </w:rPr>
              <w:t xml:space="preserve">Primjedba je razmotrena, ali nije prihvaćena. U dijelu kojim se predlaže izmjena na način da ponuditelj ne može sudjelovati na javnom natječaju ukoliko ima dug prema trgovačkim društvima u (su)vlasništvu Grada ocjenjuje se da se isti ne može prihvatiti budući da bi bila suviše otežavajuća za potencijalne ponuditelje. Dozvolu izdaje Grad Rijeka te je u tom smislu opravdano da ponuditelj nema dugovanja prema samom Gradu, međutim u slučaju da se uključe u navedeno i trgovačka društva u vlasništvu Grada, došlo bi do situacije u kojoj se ponuditelj ne može javiti na natječaj iz razloga što primjerice ima neplaćenu parkirnu kaznu. U dijelu vremenskog ograničenja za prekršaje, ističe se kako je odredba „da ponuditelj nije koristio pomorsko dobro bez valjane pravne osnove i/ili uzrokovao štetu na pomorskom dobru.“ </w:t>
            </w:r>
            <w:r w:rsidR="008D44B5" w:rsidRPr="002202CD">
              <w:rPr>
                <w:rFonts w:ascii="Arial" w:hAnsi="Arial" w:cs="Arial"/>
              </w:rPr>
              <w:t>u</w:t>
            </w:r>
            <w:r w:rsidRPr="002202CD">
              <w:rPr>
                <w:rFonts w:ascii="Arial" w:hAnsi="Arial" w:cs="Arial"/>
              </w:rPr>
              <w:t xml:space="preserve"> cijelosti preuzeta iz odredbe članka 8. stavka 7. Pravilnika o sadržaju plana upravljanja pomorskim dobrom, u kojem su propisani obvezni uvjeti koje su ponuditelji dužni ispunjavati. Budući da navedena odredba ne predviđa mogućnost vremenskog ograničenja, ocjenjuje se da bi prijedlog bio suprotan Pravilniku. </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6.</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 xml:space="preserve">Niski iznosi za uklanjanje ilegalnih objekata i nasipa: U Članku 6. predviđeno je 10.000,00 € za uklanjanje nezakonitih nasipa (stavka 4.), 20.000,00 € za uklanjanje ilegalnih molova, sunčališta i sl. (stavka 5.) te 5.000,00 € za uklanjanje nezakonitih sidrenih blokova i plutača (stavka 9.) za cijelo petogodišnje razdoblje. Građevinski radovi na moru i podmorju (poput </w:t>
            </w:r>
            <w:r w:rsidRPr="002202CD">
              <w:rPr>
                <w:rFonts w:ascii="Arial" w:hAnsi="Arial" w:cs="Arial"/>
                <w:lang w:eastAsia="zh-CN"/>
              </w:rPr>
              <w:lastRenderedPageBreak/>
              <w:t>uklanjanja betonskih molova ili teških sidrenih blokova) iznimno su skupi. Predviđeni iznosi čine se nerealno niskima za efikasno provođenje reda na pomorskom dobru, pa se predlaže njihovo povećanje.</w:t>
            </w:r>
          </w:p>
        </w:tc>
        <w:tc>
          <w:tcPr>
            <w:tcW w:w="2693" w:type="dxa"/>
            <w:vAlign w:val="center"/>
          </w:tcPr>
          <w:p w:rsidR="00833286" w:rsidRPr="002202CD" w:rsidRDefault="00833286" w:rsidP="008D44B5">
            <w:pPr>
              <w:rPr>
                <w:rFonts w:ascii="Arial" w:hAnsi="Arial" w:cs="Arial"/>
              </w:rPr>
            </w:pPr>
            <w:r w:rsidRPr="002202CD">
              <w:rPr>
                <w:rFonts w:ascii="Arial" w:hAnsi="Arial" w:cs="Arial"/>
              </w:rPr>
              <w:lastRenderedPageBreak/>
              <w:t>Primjedba je razmotrena, no ocjenjuje se da u razdoblju važenja Plana (do 2028. godine), nije potrebno osigurati dodatna sredstva</w:t>
            </w:r>
            <w:r w:rsidR="008D44B5" w:rsidRPr="002202CD">
              <w:rPr>
                <w:rFonts w:ascii="Arial" w:hAnsi="Arial" w:cs="Arial"/>
              </w:rPr>
              <w:t>, stog ista nije prihvaćena</w:t>
            </w:r>
            <w:r w:rsidRPr="002202CD">
              <w:rPr>
                <w:rFonts w:ascii="Arial" w:hAnsi="Arial" w:cs="Arial"/>
              </w:rPr>
              <w:t>. Ukoliko se pojavi potreba, svakako će se pristupiti izmjenama Plana</w:t>
            </w:r>
            <w:r w:rsidR="00C73171" w:rsidRPr="002202CD">
              <w:rPr>
                <w:rFonts w:ascii="Arial" w:hAnsi="Arial" w:cs="Arial"/>
              </w:rPr>
              <w:t>.</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5. stavak 5.</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Održiva "plava" infrastruktura umjesto pukog nasipavanja (Članak 5., stavka 5.):</w:t>
            </w:r>
            <w:r w:rsidRPr="002202CD">
              <w:rPr>
                <w:rFonts w:ascii="Arial" w:hAnsi="Arial" w:cs="Arial"/>
                <w:lang w:eastAsia="zh-CN"/>
              </w:rPr>
              <w:br/>
              <w:t>Plan predviđa visok iznos od 315.000,00 € za dohranjivanje plaža šljunkom. S obzirom na to da morske struje i zimski valovi redovito odnose taj šljunak (što stvara trajan i ciklički trošak), predlaže se da se dio tih sredstava preusmjeri na zeleno-plavu infrastrukturu.</w:t>
            </w:r>
            <w:r w:rsidRPr="002202CD">
              <w:rPr>
                <w:rFonts w:ascii="Tahoma" w:hAnsi="Tahoma" w:cs="Tahoma"/>
                <w:lang w:eastAsia="zh-CN"/>
              </w:rPr>
              <w:t xml:space="preserve"> </w:t>
            </w:r>
            <w:r w:rsidRPr="002202CD">
              <w:rPr>
                <w:rFonts w:ascii="Arial" w:hAnsi="Arial" w:cs="Arial"/>
                <w:lang w:eastAsia="zh-CN"/>
              </w:rPr>
              <w:t>Umjesto samo nasipavanja kamiona šljunka na obalu, predlaže se projektiranje podvodnih barijera ili "eko-grebena" (od prirodnih materijala) koji razbijaju snagu valova prije nego što udare u obalu, čime se šljunak prirodno zadržava na plaži, a usput se potiče obnova morske flore i faune.</w:t>
            </w:r>
          </w:p>
        </w:tc>
        <w:tc>
          <w:tcPr>
            <w:tcW w:w="2693" w:type="dxa"/>
            <w:vAlign w:val="center"/>
          </w:tcPr>
          <w:p w:rsidR="005F6A87" w:rsidRPr="002202CD" w:rsidRDefault="00833286" w:rsidP="005F6A87">
            <w:pPr>
              <w:rPr>
                <w:rFonts w:ascii="Arial" w:hAnsi="Arial" w:cs="Arial"/>
              </w:rPr>
            </w:pPr>
            <w:r w:rsidRPr="002202CD">
              <w:rPr>
                <w:rFonts w:ascii="Arial" w:hAnsi="Arial" w:cs="Arial"/>
              </w:rPr>
              <w:t>Primjedba je razmotrena</w:t>
            </w:r>
            <w:r w:rsidR="005F6A87" w:rsidRPr="002202CD">
              <w:rPr>
                <w:rFonts w:ascii="Arial" w:hAnsi="Arial" w:cs="Arial"/>
              </w:rPr>
              <w:t>, međutim nije prihvaćena</w:t>
            </w:r>
            <w:r w:rsidRPr="002202CD">
              <w:rPr>
                <w:rFonts w:ascii="Arial" w:hAnsi="Arial" w:cs="Arial"/>
              </w:rPr>
              <w:t xml:space="preserve">. Predviđena sredstva osigurana su prema prethodnim iskustvima u dohranjivanju plaža šljunkom. </w:t>
            </w:r>
            <w:r w:rsidR="005F6A87" w:rsidRPr="002202CD">
              <w:rPr>
                <w:rFonts w:ascii="Arial" w:hAnsi="Arial" w:cs="Arial"/>
              </w:rPr>
              <w:t>Napominjemo kako je donesena Strategija zelene urbane obnove Grada Rijeke kojom je kao razvojna mjera i aktivnost uvrštena revitalizacija postojećih gradskih plaža prema principima NBS-a (Nature-based Solutions ili rješenja temeljena na prirodi) te je ista objavljena u „Službenim novinama Grada Rijeke“ 12/24.</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Nadopuna Članak 5.</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"Pametne plaže" (Smart Beach) i energetska održivost (Nadopuna Članka 5.)</w:t>
            </w:r>
            <w:r w:rsidRPr="002202CD">
              <w:rPr>
                <w:rFonts w:ascii="Arial" w:hAnsi="Arial" w:cs="Arial"/>
                <w:lang w:eastAsia="zh-CN"/>
              </w:rPr>
              <w:br/>
              <w:t>Predlaže se uvrštavanje pilot-projekta instalacije pametne i održive opreme koja u dugom roku štedi novac iz gradskog proračuna.</w:t>
            </w:r>
            <w:r w:rsidRPr="002202CD">
              <w:rPr>
                <w:rFonts w:ascii="Arial" w:hAnsi="Arial" w:cs="Arial"/>
                <w:lang w:eastAsia="zh-CN"/>
              </w:rPr>
              <w:br/>
              <w:t>Tuševi koji se aktiviraju na senzor (sprječavanje nepotrebnog curenja vode) i uvođenje naplate na svim tuševima, a prikupljeni iznos se smije reinvestirati isključivo u održavanje plaža.</w:t>
            </w:r>
            <w:r w:rsidRPr="002202CD">
              <w:rPr>
                <w:rFonts w:ascii="Arial" w:hAnsi="Arial" w:cs="Arial"/>
                <w:lang w:eastAsia="zh-CN"/>
              </w:rPr>
              <w:br/>
              <w:t>Uvođenje pametnih IoT spremnika sa senzorima napunjenosti omogućilo bi komunalnom društvu optimizaciju ruta pražnjenja (prazne se samo kad su puni), smanjujući troškove logistike</w:t>
            </w:r>
            <w:r w:rsidR="00DC328E" w:rsidRPr="002202CD">
              <w:rPr>
                <w:rFonts w:ascii="Arial" w:hAnsi="Arial" w:cs="Arial"/>
                <w:lang w:eastAsia="zh-CN"/>
              </w:rPr>
              <w:t>.</w:t>
            </w:r>
          </w:p>
        </w:tc>
        <w:tc>
          <w:tcPr>
            <w:tcW w:w="2693" w:type="dxa"/>
            <w:vAlign w:val="center"/>
          </w:tcPr>
          <w:p w:rsidR="00833286" w:rsidRPr="002202CD" w:rsidRDefault="00833286" w:rsidP="0091541C">
            <w:pPr>
              <w:rPr>
                <w:rFonts w:ascii="Arial" w:hAnsi="Arial" w:cs="Arial"/>
              </w:rPr>
            </w:pPr>
            <w:r w:rsidRPr="002202CD">
              <w:rPr>
                <w:rFonts w:ascii="Arial" w:hAnsi="Arial" w:cs="Arial"/>
              </w:rPr>
              <w:t xml:space="preserve">Primjedba je razmotrena te Grad Rijeka svakako razmatra mogućnosti dugoročnog investiranja u opremu na način da bi </w:t>
            </w:r>
            <w:r w:rsidR="0091541C" w:rsidRPr="002202CD">
              <w:rPr>
                <w:rFonts w:ascii="Arial" w:hAnsi="Arial" w:cs="Arial"/>
              </w:rPr>
              <w:t>investicija bila</w:t>
            </w:r>
            <w:r w:rsidRPr="002202CD">
              <w:rPr>
                <w:rFonts w:ascii="Arial" w:hAnsi="Arial" w:cs="Arial"/>
              </w:rPr>
              <w:t xml:space="preserve"> održiva</w:t>
            </w:r>
            <w:r w:rsidR="0091541C" w:rsidRPr="002202CD">
              <w:rPr>
                <w:rFonts w:ascii="Arial" w:hAnsi="Arial" w:cs="Arial"/>
              </w:rPr>
              <w:t xml:space="preserve"> i opravdana</w:t>
            </w:r>
            <w:r w:rsidRPr="002202CD">
              <w:rPr>
                <w:rFonts w:ascii="Arial" w:hAnsi="Arial" w:cs="Arial"/>
              </w:rPr>
              <w:t xml:space="preserve">, posebice u odnosu na sve veće probleme sa sušnim razdobljima tijekom ljetne sezone. Budući da vezano za određeni segment takvih rješenja zasigurno postoje određeni različiti stavovi zainteresirane javnosti (primjerice, pitanje naplate tuševa), iste je potrebno sagledati na široj razini. Nakon sagledavanja mogućnosti, potrebno je procijeniti troškove prihvaćenih rješenja, nakon čega će se ista moći uvrstiti u izmjene Plana. </w:t>
            </w:r>
            <w:r w:rsidR="00C73171" w:rsidRPr="002202CD">
              <w:rPr>
                <w:rFonts w:ascii="Arial" w:hAnsi="Arial" w:cs="Arial"/>
              </w:rPr>
              <w:t xml:space="preserve">Slijedom navedenoga, primjedba se ne prihvaća jer predložene mjere zahtijevaju prethodnu analizu </w:t>
            </w:r>
            <w:r w:rsidR="00C73171" w:rsidRPr="002202CD">
              <w:rPr>
                <w:rFonts w:ascii="Arial" w:hAnsi="Arial" w:cs="Arial"/>
              </w:rPr>
              <w:lastRenderedPageBreak/>
              <w:t>njihove opravdanosti, uključujući procjenu očekivanih koristi u odnosu na potrebna ulaganja, te se mogu realizirati i kroz zasebne projekte, bez potrebe za njihovim propisivanjem člankom 5. Plana.</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Načelni prijedlog</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 xml:space="preserve">Nova stavka "Rekonstrukcija raskrižja Demetrova ulica – Ulica Senjsko pristanište – prilaz luci nautičkog turizma Porto Baroš" u iznosu od 120.000,00 eura u cijelosti se financira sredstvima trgovačkog društva ACI-GITONE d.o.o. na temelju sklopljenog Ugovora o međusobnim pravima i obvezama, dok isto društvo (odnosno s njim povezano Gitone Kvarner d.o.o.) istodobno ima vlasnički interes na susjednoj katastarskoj čestici unutar zone zahvata. Predlaže se da se uz Plan, kao prilog ili javno dostupan dokument na </w:t>
            </w:r>
            <w:hyperlink r:id="rId9" w:history="1">
              <w:r w:rsidRPr="002202CD">
                <w:rPr>
                  <w:rFonts w:ascii="Arial" w:hAnsi="Arial" w:cs="Arial"/>
                  <w:color w:val="0563C1"/>
                  <w:u w:val="single"/>
                  <w:lang w:eastAsia="zh-CN"/>
                </w:rPr>
                <w:t>www.rijeka.hr</w:t>
              </w:r>
            </w:hyperlink>
            <w:r w:rsidRPr="002202CD">
              <w:rPr>
                <w:rFonts w:ascii="Arial" w:hAnsi="Arial" w:cs="Arial"/>
                <w:lang w:eastAsia="zh-CN"/>
              </w:rPr>
              <w:t>, objavi sažetak ključnih odredbi navedenog Ugovora (i njegovih dodataka) – opseg obveza investitora, rokovi, uvjeti predaje izgrađene infrastrukture Gradu – kako bi javnost imala uvid u uvjete pod kojima se privatno financirana infrastruktura uključuje u plan upravljanja javnim dobrom.</w:t>
            </w:r>
            <w:r w:rsidRPr="002202CD">
              <w:rPr>
                <w:rFonts w:ascii="Arial" w:hAnsi="Arial" w:cs="Arial"/>
                <w:lang w:eastAsia="zh-CN"/>
              </w:rPr>
              <w:br/>
              <w:t>Nadalje, s obzirom na to da se radi o zahvatima znatne vrijednosti sufinanciranima sredstvima EU (Preluk, Milića Jardas) odnosno privatnim sredstvima (Porto Baroš), predlaže se da se uz tablični prikaz radova doda i poveznica na temeljnu projektnu dokumentaciju (idejne/glavne projekte) kako bi zainteresirana javnost mogla uvidjeti stvarni fizički opseg zahvata na obali.</w:t>
            </w:r>
          </w:p>
        </w:tc>
        <w:tc>
          <w:tcPr>
            <w:tcW w:w="2693" w:type="dxa"/>
            <w:vAlign w:val="center"/>
          </w:tcPr>
          <w:p w:rsidR="00C73171" w:rsidRPr="002202CD" w:rsidRDefault="00C73171" w:rsidP="00C73171">
            <w:pPr>
              <w:rPr>
                <w:rFonts w:ascii="Arial" w:hAnsi="Arial" w:cs="Arial"/>
              </w:rPr>
            </w:pPr>
            <w:r w:rsidRPr="002202CD">
              <w:rPr>
                <w:rFonts w:ascii="Arial" w:hAnsi="Arial" w:cs="Arial"/>
              </w:rPr>
              <w:t>Primjedba je razmotrena, međutim, ne prihvaća se budući da navedeni sadržaj nije predmet Plana. Planski i programski dokumenti Grada Rijeke ne sadrže poveznice na pravne poslove, izrađenu projektnu dokumentaciju niti drugu dokumentaciju povezanu s pojedinim fazama realizacije projekata.</w:t>
            </w:r>
          </w:p>
          <w:p w:rsidR="00C73171" w:rsidRPr="002202CD" w:rsidRDefault="00C73171" w:rsidP="00C73171">
            <w:pPr>
              <w:rPr>
                <w:rFonts w:ascii="Arial" w:hAnsi="Arial" w:cs="Arial"/>
              </w:rPr>
            </w:pPr>
          </w:p>
          <w:p w:rsidR="00C73171" w:rsidRPr="002202CD" w:rsidRDefault="00C73171" w:rsidP="00C73171">
            <w:pPr>
              <w:rPr>
                <w:rFonts w:ascii="Arial" w:hAnsi="Arial" w:cs="Arial"/>
              </w:rPr>
            </w:pPr>
            <w:r w:rsidRPr="002202CD">
              <w:rPr>
                <w:rFonts w:ascii="Arial" w:hAnsi="Arial" w:cs="Arial"/>
              </w:rPr>
              <w:t xml:space="preserve">Istodobno, Grad Rijeka osigurava transparentnost postupanja i dostupnost relevantnih informacija zainteresiranoj javnosti putem svojih mrežnih stranica. Tako su na mrežnim stranicama Grada Rijeke, </w:t>
            </w:r>
            <w:hyperlink r:id="rId10" w:history="1">
              <w:r w:rsidR="009A5A97" w:rsidRPr="002202CD">
                <w:rPr>
                  <w:rStyle w:val="Hyperlink"/>
                  <w:rFonts w:ascii="Arial" w:hAnsi="Arial" w:cs="Arial"/>
                </w:rPr>
                <w:t>https://www.rijeka.hr/gradska-uprava/gradonacelnica/kolegij-gradonacelnice/</w:t>
              </w:r>
            </w:hyperlink>
            <w:r w:rsidR="009A5A97" w:rsidRPr="002202CD">
              <w:rPr>
                <w:rFonts w:ascii="Arial" w:hAnsi="Arial" w:cs="Arial"/>
              </w:rPr>
              <w:t xml:space="preserve"> </w:t>
            </w:r>
            <w:r w:rsidRPr="002202CD">
              <w:rPr>
                <w:rFonts w:ascii="Arial" w:hAnsi="Arial" w:cs="Arial"/>
              </w:rPr>
              <w:t>, objavljeni usvojeni zaključci gradonačelnice, među kojima i zaključci kojima se daje suglasnost za sklapanje pojedinačnih ugovora, a čiji je sastavni dio i prijedlog sadržaja ugovora.</w:t>
            </w:r>
          </w:p>
          <w:p w:rsidR="00C73171" w:rsidRPr="002202CD" w:rsidRDefault="00C73171" w:rsidP="00C73171">
            <w:pPr>
              <w:rPr>
                <w:rFonts w:ascii="Arial" w:hAnsi="Arial" w:cs="Arial"/>
              </w:rPr>
            </w:pPr>
          </w:p>
          <w:p w:rsidR="00C73171" w:rsidRPr="002202CD" w:rsidRDefault="00C73171" w:rsidP="00C73171">
            <w:pPr>
              <w:rPr>
                <w:rFonts w:ascii="Arial" w:hAnsi="Arial" w:cs="Arial"/>
              </w:rPr>
            </w:pPr>
            <w:r w:rsidRPr="002202CD">
              <w:rPr>
                <w:rFonts w:ascii="Arial" w:hAnsi="Arial" w:cs="Arial"/>
              </w:rPr>
              <w:t>Slijedom navedenoga, zainteresiranoj javnosti omogućena je dostupnost informacija o poduzetim radnjama i donesenim odlukama, a Grad Rijeka kontinuirano radi na unaprjeđenju transparentnosti i dostupnosti informacija iz svog djelokruga</w:t>
            </w:r>
            <w:r w:rsidR="009A5A97" w:rsidRPr="002202CD">
              <w:rPr>
                <w:rFonts w:ascii="Arial" w:hAnsi="Arial" w:cs="Arial"/>
              </w:rPr>
              <w:t xml:space="preserve"> rada</w:t>
            </w:r>
            <w:r w:rsidRPr="002202CD">
              <w:rPr>
                <w:rFonts w:ascii="Arial" w:hAnsi="Arial" w:cs="Arial"/>
              </w:rPr>
              <w:t>.</w:t>
            </w:r>
          </w:p>
          <w:p w:rsidR="00C73171" w:rsidRPr="002202CD" w:rsidRDefault="00C73171" w:rsidP="00C73171">
            <w:pPr>
              <w:rPr>
                <w:rFonts w:ascii="Arial" w:hAnsi="Arial" w:cs="Arial"/>
              </w:rPr>
            </w:pPr>
          </w:p>
          <w:p w:rsidR="00C73171" w:rsidRPr="002202CD" w:rsidRDefault="00C73171" w:rsidP="00C73171">
            <w:pPr>
              <w:rPr>
                <w:rFonts w:ascii="Arial" w:hAnsi="Arial" w:cs="Arial"/>
              </w:rPr>
            </w:pPr>
          </w:p>
          <w:p w:rsidR="00C73171" w:rsidRPr="002202CD" w:rsidRDefault="00C73171" w:rsidP="00C73171">
            <w:pPr>
              <w:rPr>
                <w:rFonts w:ascii="Arial" w:hAnsi="Arial" w:cs="Arial"/>
              </w:rPr>
            </w:pP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Članak 9.</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 xml:space="preserve">Predlaže se da se u Obrazloženju uz ovaj članak jasnije navede da se izmjena odnosi na cjelokupnu novu </w:t>
            </w:r>
            <w:r w:rsidRPr="002202CD">
              <w:rPr>
                <w:rFonts w:ascii="Arial" w:hAnsi="Arial" w:cs="Arial"/>
                <w:lang w:eastAsia="zh-CN"/>
              </w:rPr>
              <w:lastRenderedPageBreak/>
              <w:t>formulaciju točke 11. sa svim navedenim osnovama isključenja (neregistrirana djelatnost, prethodno korištenje bez pravne osnove ili prouzročena šteta, dospjele obveze po javnim davanjima, nepodmireni dug prema Gradu), s obzirom na to da trenutačna formulacija Obrazloženja spominje samo prvu osnovu isključenja, što može stvoriti dvojbu u primjeni ostaje li ostatak uvjeta na snazi u punom opsegu</w:t>
            </w:r>
          </w:p>
        </w:tc>
        <w:tc>
          <w:tcPr>
            <w:tcW w:w="2693" w:type="dxa"/>
            <w:vAlign w:val="center"/>
          </w:tcPr>
          <w:p w:rsidR="00833286" w:rsidRPr="002202CD" w:rsidRDefault="00833286" w:rsidP="00833286">
            <w:pPr>
              <w:rPr>
                <w:rFonts w:ascii="Arial" w:hAnsi="Arial" w:cs="Arial"/>
              </w:rPr>
            </w:pPr>
            <w:r w:rsidRPr="002202CD">
              <w:rPr>
                <w:rFonts w:ascii="Arial" w:hAnsi="Arial" w:cs="Arial"/>
              </w:rPr>
              <w:lastRenderedPageBreak/>
              <w:t xml:space="preserve">Prijedlog je razmotren i prihvaćen. Iako se ne odnosi na tekst samoga članka, obrazloženje Prijedloga </w:t>
            </w:r>
            <w:r w:rsidRPr="002202CD">
              <w:rPr>
                <w:rFonts w:ascii="Arial" w:hAnsi="Arial" w:cs="Arial"/>
              </w:rPr>
              <w:lastRenderedPageBreak/>
              <w:t xml:space="preserve">izmjena i dopune Plana upravljanja pomorskim dobrom na području grada Rijeke za razdoblje 2024.-2028. godine nadopunjeno je sukladno primjedbi. </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Načelni prijedlog</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 xml:space="preserve">Iz Obrazloženja proizlazi da je Ministarstvo predložilo ponavljanje natječaja u slučaju kada dva ili više ponuditelja ostvare jednak broj bodova, no Grad je zadržao postojeće rješenje prema kojem prednost ima ranije zaprimljena ponuda, uz obrazloženje da bi ponavljanje natječaja stvaralo dodatne troškove. Predlaže se da se, umjesto kriterija vremena zaprimanja ponude (koji ne odražava stvarnu konkurentnost ponuda, već brzinu ili informiranost ponuditelja), uvede objektivniji dodatni kriterij razgraničenja – primjerice unaprijed najavljeno javno izvlačenje u nazočnosti javnog bilježnika ili nadopunjena ponuda u zatvorenoj omotnici (nadmetanje u drugom krugu) – kako bi se osigurala jednakost svih ponuditelja neovisno o trenutku predaje ponude. </w:t>
            </w:r>
          </w:p>
          <w:p w:rsidR="00833286" w:rsidRPr="002202CD" w:rsidRDefault="00833286" w:rsidP="00833286">
            <w:pPr>
              <w:spacing w:before="100" w:beforeAutospacing="1" w:after="100" w:afterAutospacing="1"/>
              <w:rPr>
                <w:rFonts w:ascii="Arial" w:hAnsi="Arial" w:cs="Arial"/>
                <w:lang w:eastAsia="zh-CN"/>
              </w:rPr>
            </w:pPr>
          </w:p>
        </w:tc>
        <w:tc>
          <w:tcPr>
            <w:tcW w:w="2693" w:type="dxa"/>
            <w:vAlign w:val="center"/>
          </w:tcPr>
          <w:p w:rsidR="00833286" w:rsidRPr="002202CD" w:rsidRDefault="00833286" w:rsidP="00833286">
            <w:pPr>
              <w:rPr>
                <w:rFonts w:ascii="Arial" w:hAnsi="Arial" w:cs="Arial"/>
              </w:rPr>
            </w:pPr>
            <w:r w:rsidRPr="002202CD">
              <w:rPr>
                <w:rFonts w:ascii="Arial" w:hAnsi="Arial" w:cs="Arial"/>
              </w:rPr>
              <w:t>Primjedba je razmotrena, međutim utvrđeno je kako je već postojeće rješenje najsvrsishodnije</w:t>
            </w:r>
            <w:r w:rsidR="00567027" w:rsidRPr="002202CD">
              <w:rPr>
                <w:rFonts w:ascii="Arial" w:hAnsi="Arial" w:cs="Arial"/>
              </w:rPr>
              <w:t xml:space="preserve"> te se ista ne prihvaća</w:t>
            </w:r>
            <w:r w:rsidRPr="002202CD">
              <w:rPr>
                <w:rFonts w:ascii="Arial" w:hAnsi="Arial" w:cs="Arial"/>
              </w:rPr>
              <w:t>. Naime, do primjene ovog kriterija (ponuda koja je ranije zaprimljena) dolazi upravo u trenutku kada je konkurentnost ponuda različitih ponuditelja potpuno jednaka, odnosno kada su isti ostvarili jednak broj bodova. Svaki dodatni kriterij razgraničenja (primjerice nadmetanje u drugom krugu), osim što prolongira postupak natječaja na način da ponuditelji više ne mogu predvidjeti njegovo trajanje, ujedno može i u potencijalnom drugome krugu ponovno rezultirati istom posljedicom – jednakim brojem bodova dvaju ili više ponuditelja. Također, navedeno rješenje iz važećeg Plana već je predviđen</w:t>
            </w:r>
            <w:r w:rsidR="00567027" w:rsidRPr="002202CD">
              <w:rPr>
                <w:rFonts w:ascii="Arial" w:hAnsi="Arial" w:cs="Arial"/>
              </w:rPr>
              <w:t>o u drugim aktima Grada Rijeke kao i Zakonom o koncesijama („Narodne Novine“ 69/17, 107/20, 69/26) kojim je u članku 35. stavak 7. propisano ako su dvije i više urednih ponuda jednako rangirane prema kriteriju za odabir najpovoljnije ponude, davatelj koncesije odabrati će ponudu koja je zaprimljena ranije.</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Načelni prijedlog</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 xml:space="preserve">Predloženom izmjenom odlučivanje o dozvolama na zahtjev za rok do 20 dana prelazi s Gradskog vijeća na Gradonačelnika. Iako je </w:t>
            </w:r>
            <w:r w:rsidRPr="002202CD">
              <w:rPr>
                <w:rFonts w:ascii="Arial" w:hAnsi="Arial" w:cs="Arial"/>
                <w:lang w:eastAsia="zh-CN"/>
              </w:rPr>
              <w:lastRenderedPageBreak/>
              <w:t>ubrzanje postupka razumljivo s obzirom na narav takvih kratkotrajnih dozvola, predlaže se da se, radi očuvanja demokratskog nadzora nad korištenjem javnog dobra, uvede obveza da Gradonačelnik najmanje jednom godišnje izvijesti Gradsko vijeće o broju, vrsti i nositeljima svih izdanih dozvola na zahtjev iz ovog članka</w:t>
            </w:r>
          </w:p>
        </w:tc>
        <w:tc>
          <w:tcPr>
            <w:tcW w:w="2693" w:type="dxa"/>
            <w:vAlign w:val="center"/>
          </w:tcPr>
          <w:p w:rsidR="00833286" w:rsidRPr="002202CD" w:rsidRDefault="00567027" w:rsidP="00833286">
            <w:pPr>
              <w:rPr>
                <w:rFonts w:ascii="Arial" w:hAnsi="Arial" w:cs="Arial"/>
              </w:rPr>
            </w:pPr>
            <w:r w:rsidRPr="002202CD">
              <w:rPr>
                <w:rFonts w:ascii="Arial" w:hAnsi="Arial" w:cs="Arial"/>
              </w:rPr>
              <w:lastRenderedPageBreak/>
              <w:t xml:space="preserve">Primjedba se prihvaća te će predloženo izvješće biti sadržano u okviru godišnjeg izvješća o izvršenju programa </w:t>
            </w:r>
            <w:r w:rsidRPr="002202CD">
              <w:rPr>
                <w:rFonts w:ascii="Arial" w:hAnsi="Arial" w:cs="Arial"/>
              </w:rPr>
              <w:lastRenderedPageBreak/>
              <w:t>održavanja komunalne infrastrukture.</w:t>
            </w:r>
          </w:p>
        </w:tc>
      </w:tr>
      <w:tr w:rsidR="00833286" w:rsidRPr="002202CD" w:rsidTr="006C5090">
        <w:tc>
          <w:tcPr>
            <w:tcW w:w="791" w:type="dxa"/>
          </w:tcPr>
          <w:p w:rsidR="00833286" w:rsidRPr="002202CD" w:rsidRDefault="00833286" w:rsidP="00833286">
            <w:pPr>
              <w:numPr>
                <w:ilvl w:val="0"/>
                <w:numId w:val="8"/>
              </w:numPr>
              <w:contextualSpacing/>
              <w:rPr>
                <w:rFonts w:ascii="Arial" w:hAnsi="Arial" w:cs="Arial"/>
                <w:szCs w:val="20"/>
              </w:rPr>
            </w:pPr>
          </w:p>
        </w:tc>
        <w:tc>
          <w:tcPr>
            <w:tcW w:w="1664" w:type="dxa"/>
            <w:vAlign w:val="center"/>
          </w:tcPr>
          <w:p w:rsidR="00833286" w:rsidRPr="002202CD" w:rsidRDefault="00833286" w:rsidP="00833286">
            <w:pPr>
              <w:jc w:val="center"/>
              <w:rPr>
                <w:rFonts w:ascii="Arial" w:hAnsi="Arial" w:cs="Arial"/>
                <w:szCs w:val="20"/>
              </w:rPr>
            </w:pPr>
            <w:r w:rsidRPr="002202CD">
              <w:rPr>
                <w:rFonts w:ascii="Arial" w:hAnsi="Arial" w:cs="Arial"/>
                <w:szCs w:val="20"/>
              </w:rPr>
              <w:t>Luka Fućak</w:t>
            </w:r>
          </w:p>
        </w:tc>
        <w:tc>
          <w:tcPr>
            <w:tcW w:w="1802" w:type="dxa"/>
            <w:vAlign w:val="center"/>
          </w:tcPr>
          <w:p w:rsidR="00833286" w:rsidRPr="002202CD" w:rsidRDefault="00833286" w:rsidP="00833286">
            <w:pPr>
              <w:jc w:val="center"/>
              <w:rPr>
                <w:rFonts w:ascii="Arial" w:hAnsi="Arial" w:cs="Arial"/>
              </w:rPr>
            </w:pPr>
            <w:r w:rsidRPr="002202CD">
              <w:rPr>
                <w:rFonts w:ascii="Arial" w:hAnsi="Arial" w:cs="Arial"/>
              </w:rPr>
              <w:t>Načelni prijedlog</w:t>
            </w:r>
          </w:p>
        </w:tc>
        <w:tc>
          <w:tcPr>
            <w:tcW w:w="3540" w:type="dxa"/>
            <w:vAlign w:val="center"/>
          </w:tcPr>
          <w:p w:rsidR="00833286" w:rsidRPr="002202CD" w:rsidRDefault="00833286" w:rsidP="00833286">
            <w:pPr>
              <w:spacing w:before="100" w:beforeAutospacing="1" w:after="100" w:afterAutospacing="1"/>
              <w:rPr>
                <w:rFonts w:ascii="Arial" w:hAnsi="Arial" w:cs="Arial"/>
                <w:lang w:eastAsia="zh-CN"/>
              </w:rPr>
            </w:pPr>
            <w:r w:rsidRPr="002202CD">
              <w:rPr>
                <w:rFonts w:ascii="Arial" w:hAnsi="Arial" w:cs="Arial"/>
                <w:lang w:eastAsia="zh-CN"/>
              </w:rPr>
              <w:t>S obzirom na to da Plan obuhvaća opsežne radove koji privremeno mogu ograničiti opću upotrebu obale (dohranjivanje plaža, rekonstrukcija šetnica, uređenje raskrižja), predlaže se da se u Plan unese opća odredba kojom se Upravni odjel i ovlaštenici dozvola obvezuju tijekom izvođenja radova osigurati jasno označenu alternativnu javnu pristupačnost obali i moru gdje god je to izvedivo, te da se za radove dohranjivanja plaža unaprijed javno objave osnovne informacije o očekivanom trajanju ograničenja opće upotrebe.</w:t>
            </w:r>
          </w:p>
        </w:tc>
        <w:tc>
          <w:tcPr>
            <w:tcW w:w="2693" w:type="dxa"/>
            <w:vAlign w:val="center"/>
          </w:tcPr>
          <w:p w:rsidR="00833286" w:rsidRPr="002202CD" w:rsidRDefault="00567027" w:rsidP="00567027">
            <w:pPr>
              <w:rPr>
                <w:rFonts w:ascii="Arial" w:hAnsi="Arial" w:cs="Arial"/>
              </w:rPr>
            </w:pPr>
            <w:r w:rsidRPr="002202CD">
              <w:rPr>
                <w:rFonts w:ascii="Arial" w:hAnsi="Arial" w:cs="Arial"/>
              </w:rPr>
              <w:t xml:space="preserve">Primjedba je razmotrena, međutim ista se ne prihvaća. </w:t>
            </w:r>
            <w:r w:rsidR="00833286" w:rsidRPr="002202CD">
              <w:rPr>
                <w:rFonts w:ascii="Arial" w:hAnsi="Arial" w:cs="Arial"/>
              </w:rPr>
              <w:t xml:space="preserve">Svi radovi već se izvode na predloženi način budući da se u svakom slučaju vodi računa o tome da se tijekom bilo kakvog izvođenja radova osigura pristupačnost, kao i da se unaprijed najave informacije o radovima, a o čemu će se osobito voditi računa i u budućnosti. </w:t>
            </w:r>
          </w:p>
        </w:tc>
      </w:tr>
    </w:tbl>
    <w:p w:rsidR="00833286" w:rsidRPr="002202CD" w:rsidRDefault="00833286" w:rsidP="00833286">
      <w:pPr>
        <w:rPr>
          <w:rFonts w:ascii="Arial" w:hAnsi="Arial" w:cs="Arial"/>
          <w:lang w:val="hr-HR"/>
        </w:rPr>
      </w:pPr>
    </w:p>
    <w:p w:rsidR="00833286" w:rsidRPr="002202CD" w:rsidRDefault="00833286" w:rsidP="00833286">
      <w:pPr>
        <w:rPr>
          <w:rFonts w:ascii="Arial" w:hAnsi="Arial" w:cs="Arial"/>
          <w:lang w:val="hr-HR"/>
        </w:rPr>
      </w:pPr>
    </w:p>
    <w:p w:rsidR="00833286" w:rsidRPr="002202CD" w:rsidRDefault="00833286" w:rsidP="00833286">
      <w:pPr>
        <w:rPr>
          <w:rFonts w:ascii="Arial" w:hAnsi="Arial" w:cs="Arial"/>
          <w:lang w:val="hr-HR"/>
        </w:rPr>
      </w:pPr>
    </w:p>
    <w:p w:rsidR="00833286" w:rsidRPr="002202CD" w:rsidRDefault="00833286" w:rsidP="00833286">
      <w:pPr>
        <w:jc w:val="both"/>
        <w:rPr>
          <w:szCs w:val="20"/>
          <w:lang w:val="hr-HR"/>
        </w:rPr>
      </w:pPr>
      <w:r w:rsidRPr="002202CD">
        <w:rPr>
          <w:rFonts w:ascii="Arial" w:hAnsi="Arial" w:cs="Arial"/>
          <w:lang w:val="hr-HR"/>
        </w:rPr>
        <w:t>Napomena: U vremenu trajanja savjetovanja pristiglo je 12 primjedbi/prijedloga javnosti na Nacrt prijedloga Izmjena i dopune Plana upravljanja pomorskim dobrom na području grada Rijeke za razdoblje 2024.-2028. godine</w:t>
      </w:r>
    </w:p>
    <w:p w:rsidR="00833286" w:rsidRPr="002202CD" w:rsidRDefault="00833286" w:rsidP="00833286">
      <w:pPr>
        <w:rPr>
          <w:szCs w:val="20"/>
          <w:lang w:val="hr-HR"/>
        </w:rPr>
      </w:pPr>
    </w:p>
    <w:p w:rsidR="00833286" w:rsidRPr="002202CD" w:rsidRDefault="00833286" w:rsidP="00833286">
      <w:pPr>
        <w:rPr>
          <w:szCs w:val="20"/>
          <w:lang w:val="hr-HR"/>
        </w:rPr>
      </w:pPr>
    </w:p>
    <w:p w:rsidR="001250ED" w:rsidRPr="002202CD" w:rsidRDefault="001250ED"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p w:rsidR="00567027" w:rsidRPr="002202CD" w:rsidRDefault="00567027" w:rsidP="00C47D3F">
      <w:pPr>
        <w:rPr>
          <w:rFonts w:ascii="Arial" w:eastAsia="Arial" w:hAnsi="Arial" w:cs="Arial"/>
        </w:rPr>
      </w:pPr>
    </w:p>
    <w:sectPr w:rsidR="00567027" w:rsidRPr="002202CD">
      <w:footerReference w:type="default" r:id="rId11"/>
      <w:pgSz w:w="11907" w:h="16840"/>
      <w:pgMar w:top="851" w:right="851" w:bottom="851" w:left="1418" w:header="567" w:footer="851"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B73" w:rsidRDefault="00786B73">
      <w:r>
        <w:separator/>
      </w:r>
    </w:p>
  </w:endnote>
  <w:endnote w:type="continuationSeparator" w:id="0">
    <w:p w:rsidR="00786B73" w:rsidRDefault="0078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BD067FFE-AE01-4DBF-8977-A32CFB4D04FB}"/>
  </w:font>
  <w:font w:name="CRO_Calligraph-Bold">
    <w:altName w:val="Times New Roman"/>
    <w:charset w:val="00"/>
    <w:family w:val="auto"/>
    <w:pitch w:val="variable"/>
    <w:sig w:usb0="00000007" w:usb1="00000000" w:usb2="00000000" w:usb3="00000000" w:csb0="00000013" w:csb1="00000000"/>
  </w:font>
  <w:font w:name="Arial Black">
    <w:panose1 w:val="020B0A04020102020204"/>
    <w:charset w:val="EE"/>
    <w:family w:val="swiss"/>
    <w:pitch w:val="variable"/>
    <w:sig w:usb0="A00002AF" w:usb1="400078FB" w:usb2="00000000" w:usb3="00000000" w:csb0="0000009F" w:csb1="00000000"/>
    <w:embedRegular r:id="rId2" w:fontKey="{ED9D2E26-C5CF-4352-AE31-338490FF2D95}"/>
  </w:font>
  <w:font w:name="Georgia">
    <w:panose1 w:val="02040502050405020303"/>
    <w:charset w:val="EE"/>
    <w:family w:val="roman"/>
    <w:pitch w:val="variable"/>
    <w:sig w:usb0="00000287" w:usb1="00000000" w:usb2="00000000" w:usb3="00000000" w:csb0="0000009F" w:csb1="00000000"/>
    <w:embedItalic r:id="rId3" w:fontKey="{522656F5-6FF2-4E92-A3BC-0E0A1AEF696C}"/>
  </w:font>
  <w:font w:name="Segoe UI">
    <w:panose1 w:val="020B0502040204020203"/>
    <w:charset w:val="EE"/>
    <w:family w:val="swiss"/>
    <w:pitch w:val="variable"/>
    <w:sig w:usb0="E4002EFF" w:usb1="C000E47F" w:usb2="00000009" w:usb3="00000000" w:csb0="000001FF" w:csb1="00000000"/>
    <w:embedRegular r:id="rId4" w:fontKey="{490DD339-4F5C-4F2C-BE37-D0060D4B1B63}"/>
  </w:font>
  <w:font w:name="Calibri">
    <w:panose1 w:val="020F0502020204030204"/>
    <w:charset w:val="EE"/>
    <w:family w:val="swiss"/>
    <w:pitch w:val="variable"/>
    <w:sig w:usb0="E4002EFF" w:usb1="C200247B" w:usb2="00000009" w:usb3="00000000" w:csb0="000001FF" w:csb1="00000000"/>
    <w:embedRegular r:id="rId5" w:fontKey="{86BFA154-F480-4411-A3B5-C6757AA05102}"/>
  </w:font>
  <w:font w:name="Tahoma">
    <w:panose1 w:val="020B0604030504040204"/>
    <w:charset w:val="EE"/>
    <w:family w:val="swiss"/>
    <w:pitch w:val="variable"/>
    <w:sig w:usb0="E1002EFF" w:usb1="C000605B" w:usb2="00000029" w:usb3="00000000" w:csb0="000101FF" w:csb1="00000000"/>
    <w:embedRegular r:id="rId6" w:fontKey="{CAE4DC47-C7F7-4402-B918-1BD693668D38}"/>
  </w:font>
  <w:font w:name="Cambria">
    <w:panose1 w:val="02040503050406030204"/>
    <w:charset w:val="EE"/>
    <w:family w:val="roman"/>
    <w:pitch w:val="variable"/>
    <w:sig w:usb0="E00006FF" w:usb1="420024FF" w:usb2="02000000" w:usb3="00000000" w:csb0="0000019F" w:csb1="00000000"/>
    <w:embedRegular r:id="rId7" w:fontKey="{9EF9CA88-094E-484A-9BDC-E6BB91121A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090" w:rsidRDefault="006C509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190985">
      <w:rPr>
        <w:noProof/>
        <w:color w:val="000000"/>
      </w:rPr>
      <w:t>2</w:t>
    </w:r>
    <w:r>
      <w:rPr>
        <w:color w:val="000000"/>
      </w:rPr>
      <w:fldChar w:fldCharType="end"/>
    </w:r>
  </w:p>
  <w:p w:rsidR="006C5090" w:rsidRDefault="006C509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B73" w:rsidRDefault="00786B73">
      <w:r>
        <w:separator/>
      </w:r>
    </w:p>
  </w:footnote>
  <w:footnote w:type="continuationSeparator" w:id="0">
    <w:p w:rsidR="00786B73" w:rsidRDefault="00786B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3B6411"/>
    <w:multiLevelType w:val="hybridMultilevel"/>
    <w:tmpl w:val="4ECC6B76"/>
    <w:lvl w:ilvl="0" w:tplc="ADECAA42">
      <w:start w:val="3"/>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BA131CF"/>
    <w:multiLevelType w:val="hybridMultilevel"/>
    <w:tmpl w:val="E3000BCE"/>
    <w:lvl w:ilvl="0" w:tplc="7534DA1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DB15E5A"/>
    <w:multiLevelType w:val="multilevel"/>
    <w:tmpl w:val="F67A3C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5924714"/>
    <w:multiLevelType w:val="hybridMultilevel"/>
    <w:tmpl w:val="24AC2414"/>
    <w:lvl w:ilvl="0" w:tplc="F5B6F296">
      <w:start w:val="3"/>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46E1605"/>
    <w:multiLevelType w:val="hybridMultilevel"/>
    <w:tmpl w:val="E1981A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8752AA7"/>
    <w:multiLevelType w:val="hybridMultilevel"/>
    <w:tmpl w:val="EDB607A8"/>
    <w:lvl w:ilvl="0" w:tplc="9D82258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A46547F"/>
    <w:multiLevelType w:val="multilevel"/>
    <w:tmpl w:val="8A2E6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1356196"/>
    <w:multiLevelType w:val="multilevel"/>
    <w:tmpl w:val="0D585E5E"/>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7"/>
  </w:num>
  <w:num w:numId="3">
    <w:abstractNumId w:val="6"/>
  </w:num>
  <w:num w:numId="4">
    <w:abstractNumId w:val="0"/>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0A"/>
    <w:rsid w:val="00000B35"/>
    <w:rsid w:val="00006165"/>
    <w:rsid w:val="000209B3"/>
    <w:rsid w:val="00047571"/>
    <w:rsid w:val="000476A6"/>
    <w:rsid w:val="00047828"/>
    <w:rsid w:val="000539BD"/>
    <w:rsid w:val="000B51AE"/>
    <w:rsid w:val="000D1378"/>
    <w:rsid w:val="000D58E0"/>
    <w:rsid w:val="000D61A9"/>
    <w:rsid w:val="000E143E"/>
    <w:rsid w:val="00107793"/>
    <w:rsid w:val="001250ED"/>
    <w:rsid w:val="0012645A"/>
    <w:rsid w:val="0013137E"/>
    <w:rsid w:val="00132901"/>
    <w:rsid w:val="00142A77"/>
    <w:rsid w:val="00190985"/>
    <w:rsid w:val="001C04E5"/>
    <w:rsid w:val="001D3612"/>
    <w:rsid w:val="001F3542"/>
    <w:rsid w:val="002202CD"/>
    <w:rsid w:val="0022740C"/>
    <w:rsid w:val="00242407"/>
    <w:rsid w:val="0025228A"/>
    <w:rsid w:val="00252FBD"/>
    <w:rsid w:val="00271DFC"/>
    <w:rsid w:val="00282F55"/>
    <w:rsid w:val="002E497F"/>
    <w:rsid w:val="0033214F"/>
    <w:rsid w:val="00332AF7"/>
    <w:rsid w:val="00342E60"/>
    <w:rsid w:val="0034348B"/>
    <w:rsid w:val="00382135"/>
    <w:rsid w:val="003E3B24"/>
    <w:rsid w:val="003E414E"/>
    <w:rsid w:val="003F4BC3"/>
    <w:rsid w:val="00413661"/>
    <w:rsid w:val="004204FD"/>
    <w:rsid w:val="0042383B"/>
    <w:rsid w:val="00434E9A"/>
    <w:rsid w:val="0045484D"/>
    <w:rsid w:val="00487796"/>
    <w:rsid w:val="00497B66"/>
    <w:rsid w:val="004D5D39"/>
    <w:rsid w:val="00510670"/>
    <w:rsid w:val="00542325"/>
    <w:rsid w:val="00567027"/>
    <w:rsid w:val="00573328"/>
    <w:rsid w:val="005B401A"/>
    <w:rsid w:val="005C0806"/>
    <w:rsid w:val="005F20C2"/>
    <w:rsid w:val="005F404C"/>
    <w:rsid w:val="005F6A87"/>
    <w:rsid w:val="00602C7A"/>
    <w:rsid w:val="00626A93"/>
    <w:rsid w:val="0063497A"/>
    <w:rsid w:val="0066126E"/>
    <w:rsid w:val="006822DC"/>
    <w:rsid w:val="006A5AB1"/>
    <w:rsid w:val="006B40CB"/>
    <w:rsid w:val="006C5090"/>
    <w:rsid w:val="006D5295"/>
    <w:rsid w:val="006D6CE7"/>
    <w:rsid w:val="006E23F9"/>
    <w:rsid w:val="006E3EAD"/>
    <w:rsid w:val="00707B4E"/>
    <w:rsid w:val="0072261F"/>
    <w:rsid w:val="00724318"/>
    <w:rsid w:val="007423E2"/>
    <w:rsid w:val="00760A83"/>
    <w:rsid w:val="00762F5B"/>
    <w:rsid w:val="00776B46"/>
    <w:rsid w:val="00786B73"/>
    <w:rsid w:val="007B3924"/>
    <w:rsid w:val="007D00BF"/>
    <w:rsid w:val="007F4E05"/>
    <w:rsid w:val="00804654"/>
    <w:rsid w:val="0080595D"/>
    <w:rsid w:val="00805B6E"/>
    <w:rsid w:val="00833286"/>
    <w:rsid w:val="00836792"/>
    <w:rsid w:val="00842099"/>
    <w:rsid w:val="00894484"/>
    <w:rsid w:val="008D44B5"/>
    <w:rsid w:val="008E0420"/>
    <w:rsid w:val="0091541C"/>
    <w:rsid w:val="00923A56"/>
    <w:rsid w:val="0096482B"/>
    <w:rsid w:val="00970786"/>
    <w:rsid w:val="00980CA5"/>
    <w:rsid w:val="00982B16"/>
    <w:rsid w:val="0098507B"/>
    <w:rsid w:val="009A5A97"/>
    <w:rsid w:val="009D29CD"/>
    <w:rsid w:val="00A10B22"/>
    <w:rsid w:val="00A262ED"/>
    <w:rsid w:val="00A67ADC"/>
    <w:rsid w:val="00A7498B"/>
    <w:rsid w:val="00A94F40"/>
    <w:rsid w:val="00AD3F87"/>
    <w:rsid w:val="00B24A75"/>
    <w:rsid w:val="00B2671F"/>
    <w:rsid w:val="00B62D64"/>
    <w:rsid w:val="00B85FC1"/>
    <w:rsid w:val="00B90943"/>
    <w:rsid w:val="00BA2AE3"/>
    <w:rsid w:val="00BA6A0B"/>
    <w:rsid w:val="00BB09F2"/>
    <w:rsid w:val="00BF4779"/>
    <w:rsid w:val="00C26142"/>
    <w:rsid w:val="00C47D3F"/>
    <w:rsid w:val="00C73171"/>
    <w:rsid w:val="00C807E9"/>
    <w:rsid w:val="00C8643B"/>
    <w:rsid w:val="00CC218C"/>
    <w:rsid w:val="00CE3E11"/>
    <w:rsid w:val="00CF7FA2"/>
    <w:rsid w:val="00D166D6"/>
    <w:rsid w:val="00D16D42"/>
    <w:rsid w:val="00D55F0A"/>
    <w:rsid w:val="00D6317A"/>
    <w:rsid w:val="00D827B8"/>
    <w:rsid w:val="00D83F4D"/>
    <w:rsid w:val="00DA312B"/>
    <w:rsid w:val="00DA58FB"/>
    <w:rsid w:val="00DC0018"/>
    <w:rsid w:val="00DC328E"/>
    <w:rsid w:val="00DC7C71"/>
    <w:rsid w:val="00DD6EDC"/>
    <w:rsid w:val="00E10DD4"/>
    <w:rsid w:val="00EA1C8F"/>
    <w:rsid w:val="00EC650A"/>
    <w:rsid w:val="00EE44C8"/>
    <w:rsid w:val="00F05A82"/>
    <w:rsid w:val="00F3660E"/>
    <w:rsid w:val="00F43ABD"/>
    <w:rsid w:val="00F7407F"/>
    <w:rsid w:val="00F769F9"/>
    <w:rsid w:val="00F81E1E"/>
    <w:rsid w:val="00F84F4A"/>
    <w:rsid w:val="00FD5B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E892C1-61A0-4B68-A2C5-5569402B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ind w:right="4565"/>
      <w:jc w:val="both"/>
      <w:outlineLvl w:val="0"/>
    </w:pPr>
    <w:rPr>
      <w:rFonts w:ascii="CRO_Calligraph-Bold" w:eastAsia="CRO_Calligraph-Bold" w:hAnsi="CRO_Calligraph-Bold" w:cs="CRO_Calligraph-Bold"/>
      <w:b/>
      <w:bCs/>
    </w:rPr>
  </w:style>
  <w:style w:type="paragraph" w:styleId="Heading2">
    <w:name w:val="heading 2"/>
    <w:basedOn w:val="Normal"/>
    <w:next w:val="Normal"/>
    <w:pPr>
      <w:keepNext/>
      <w:ind w:left="-397" w:right="4564"/>
      <w:outlineLvl w:val="1"/>
    </w:pPr>
    <w:rPr>
      <w:rFonts w:ascii="Arial Black" w:eastAsia="Arial Black" w:hAnsi="Arial Black" w:cs="Arial Black"/>
      <w:sz w:val="28"/>
      <w:szCs w:val="28"/>
    </w:rPr>
  </w:style>
  <w:style w:type="paragraph" w:styleId="Heading3">
    <w:name w:val="heading 3"/>
    <w:basedOn w:val="Normal"/>
    <w:next w:val="Normal"/>
    <w:pPr>
      <w:keepNext/>
      <w:ind w:right="4835"/>
      <w:jc w:val="both"/>
      <w:outlineLvl w:val="2"/>
    </w:pPr>
    <w:rPr>
      <w:b/>
      <w:bCs/>
      <w:sz w:val="18"/>
      <w:szCs w:val="18"/>
    </w:rPr>
  </w:style>
  <w:style w:type="paragraph" w:styleId="Heading4">
    <w:name w:val="heading 4"/>
    <w:basedOn w:val="Normal"/>
    <w:next w:val="Normal"/>
    <w:pPr>
      <w:keepNext/>
      <w:outlineLvl w:val="3"/>
    </w:pPr>
    <w:rPr>
      <w:b/>
      <w:bCs/>
      <w:sz w:val="20"/>
      <w:szCs w:val="20"/>
    </w:rPr>
  </w:style>
  <w:style w:type="paragraph" w:styleId="Heading5">
    <w:name w:val="heading 5"/>
    <w:basedOn w:val="Normal"/>
    <w:next w:val="Normal"/>
    <w:pPr>
      <w:keepNext/>
      <w:outlineLvl w:val="4"/>
    </w:pPr>
    <w:rPr>
      <w:b/>
      <w:bCs/>
    </w:rPr>
  </w:style>
  <w:style w:type="paragraph" w:styleId="Heading6">
    <w:name w:val="heading 6"/>
    <w:basedOn w:val="Normal"/>
    <w:next w:val="Normal"/>
    <w:pPr>
      <w:keepNext/>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30" w:type="dxa"/>
        <w:bottom w:w="0" w:type="dxa"/>
        <w:right w:w="30" w:type="dxa"/>
      </w:tblCellMar>
    </w:tblPr>
  </w:style>
  <w:style w:type="table" w:customStyle="1" w:styleId="a1">
    <w:basedOn w:val="TableNormal0"/>
    <w:tblPr>
      <w:tblStyleRowBandSize w:val="1"/>
      <w:tblStyleColBandSize w:val="1"/>
      <w:tblCellMar>
        <w:top w:w="0" w:type="dxa"/>
        <w:left w:w="30" w:type="dxa"/>
        <w:bottom w:w="0" w:type="dxa"/>
        <w:right w:w="30" w:type="dxa"/>
      </w:tblCellMar>
    </w:tblPr>
  </w:style>
  <w:style w:type="paragraph" w:styleId="ListParagraph">
    <w:name w:val="List Paragraph"/>
    <w:basedOn w:val="Normal"/>
    <w:uiPriority w:val="34"/>
    <w:qFormat/>
    <w:rsid w:val="005B401A"/>
    <w:pPr>
      <w:ind w:left="720"/>
      <w:contextualSpacing/>
    </w:pPr>
  </w:style>
  <w:style w:type="character" w:styleId="CommentReference">
    <w:name w:val="annotation reference"/>
    <w:basedOn w:val="DefaultParagraphFont"/>
    <w:uiPriority w:val="99"/>
    <w:semiHidden/>
    <w:unhideWhenUsed/>
    <w:rsid w:val="006D6CE7"/>
    <w:rPr>
      <w:sz w:val="16"/>
      <w:szCs w:val="16"/>
    </w:rPr>
  </w:style>
  <w:style w:type="paragraph" w:styleId="CommentText">
    <w:name w:val="annotation text"/>
    <w:basedOn w:val="Normal"/>
    <w:link w:val="CommentTextChar"/>
    <w:uiPriority w:val="99"/>
    <w:semiHidden/>
    <w:unhideWhenUsed/>
    <w:rsid w:val="006D6CE7"/>
    <w:rPr>
      <w:sz w:val="20"/>
      <w:szCs w:val="20"/>
    </w:rPr>
  </w:style>
  <w:style w:type="character" w:customStyle="1" w:styleId="CommentTextChar">
    <w:name w:val="Comment Text Char"/>
    <w:basedOn w:val="DefaultParagraphFont"/>
    <w:link w:val="CommentText"/>
    <w:uiPriority w:val="99"/>
    <w:semiHidden/>
    <w:rsid w:val="006D6CE7"/>
    <w:rPr>
      <w:sz w:val="20"/>
      <w:szCs w:val="20"/>
    </w:rPr>
  </w:style>
  <w:style w:type="paragraph" w:styleId="CommentSubject">
    <w:name w:val="annotation subject"/>
    <w:basedOn w:val="CommentText"/>
    <w:next w:val="CommentText"/>
    <w:link w:val="CommentSubjectChar"/>
    <w:uiPriority w:val="99"/>
    <w:semiHidden/>
    <w:unhideWhenUsed/>
    <w:rsid w:val="006D6CE7"/>
    <w:rPr>
      <w:b/>
      <w:bCs/>
    </w:rPr>
  </w:style>
  <w:style w:type="character" w:customStyle="1" w:styleId="CommentSubjectChar">
    <w:name w:val="Comment Subject Char"/>
    <w:basedOn w:val="CommentTextChar"/>
    <w:link w:val="CommentSubject"/>
    <w:uiPriority w:val="99"/>
    <w:semiHidden/>
    <w:rsid w:val="006D6CE7"/>
    <w:rPr>
      <w:b/>
      <w:bCs/>
      <w:sz w:val="20"/>
      <w:szCs w:val="20"/>
    </w:rPr>
  </w:style>
  <w:style w:type="paragraph" w:styleId="BalloonText">
    <w:name w:val="Balloon Text"/>
    <w:basedOn w:val="Normal"/>
    <w:link w:val="BalloonTextChar"/>
    <w:uiPriority w:val="99"/>
    <w:semiHidden/>
    <w:unhideWhenUsed/>
    <w:rsid w:val="006D6C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CE7"/>
    <w:rPr>
      <w:rFonts w:ascii="Segoe UI" w:hAnsi="Segoe UI" w:cs="Segoe UI"/>
      <w:sz w:val="18"/>
      <w:szCs w:val="18"/>
    </w:rPr>
  </w:style>
  <w:style w:type="character" w:styleId="Hyperlink">
    <w:name w:val="Hyperlink"/>
    <w:rsid w:val="00982B16"/>
    <w:rPr>
      <w:color w:val="0000FF"/>
      <w:u w:val="single"/>
    </w:rPr>
  </w:style>
  <w:style w:type="table" w:customStyle="1" w:styleId="TableGrid1">
    <w:name w:val="Table Grid1"/>
    <w:basedOn w:val="TableNormal"/>
    <w:next w:val="TableGrid"/>
    <w:uiPriority w:val="39"/>
    <w:rsid w:val="00833286"/>
    <w:rPr>
      <w:rFonts w:ascii="Calibri" w:eastAsia="Calibri" w:hAnsi="Calibri"/>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33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616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rijeka.hr/gradska-uprava/gradonacelnica/kolegij-gradonacelnice/" TargetMode="External"/><Relationship Id="rId4" Type="http://schemas.openxmlformats.org/officeDocument/2006/relationships/styles" Target="styles.xml"/><Relationship Id="rId9" Type="http://schemas.openxmlformats.org/officeDocument/2006/relationships/hyperlink" Target="http://www.rijeka.h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lKVnQX17tc2zH2kVELuiLygaKg==">CgMxLjA4AHIhMWpzZ013VFp0YmE5cTZsdkFJTFlYdmF5Q01XNm9yRGg2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E2341E5-58A5-47DA-ABF9-A7D3A7E89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2520</Words>
  <Characters>14367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Juranov Ivona</dc:creator>
  <cp:lastModifiedBy>Labudović Maržić Vesna</cp:lastModifiedBy>
  <cp:revision>2</cp:revision>
  <cp:lastPrinted>2026-09-04T11:55:00Z</cp:lastPrinted>
  <dcterms:created xsi:type="dcterms:W3CDTF">2026-09-10T08:06:00Z</dcterms:created>
  <dcterms:modified xsi:type="dcterms:W3CDTF">2026-09-10T08:06:00Z</dcterms:modified>
</cp:coreProperties>
</file>