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6F9" w:rsidRDefault="00CC36F9" w:rsidP="00CC36F9">
      <w:pPr>
        <w:pageBreakBefore/>
        <w:spacing w:after="200"/>
        <w:jc w:val="center"/>
        <w:rPr>
          <w:sz w:val="22"/>
        </w:rPr>
      </w:pPr>
      <w:r>
        <w:rPr>
          <w:rFonts w:ascii="Arial" w:eastAsia="Arial" w:hAnsi="Arial" w:cs="Arial"/>
          <w:b/>
          <w:bCs/>
          <w:sz w:val="24"/>
          <w:szCs w:val="22"/>
        </w:rPr>
        <w:t>Obrazloženje Nacrta prijedloga Odluke o izmjeni i dopunama Odluke o lokacijama kioska i pokretnih naprava putem kojih se obavlja trgovina na malo izvan prodavaonica i tržnica i ugostiteljska djelatnost na površini javne namjene na području grada Rijeke</w:t>
      </w:r>
    </w:p>
    <w:p w:rsidR="00CC36F9" w:rsidRDefault="00CC36F9" w:rsidP="00CC36F9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>Odlukom o lokacijama kioska i pokretnih naprava putem kojih se obavlja trgovina na malo izvan prodavaonica i tržnica i ugostiteljska djelatnost na površini javne namjene na području grada Rijeke ("Službene novine Grada Rijeke" broj 14/23) u daljnjem tekstu: važeća Odluka, određene su lokacije kioska i pokretnih naprava putem kojih se obavlja trgovina na malo izvan prodavaonica i tržnica i ugostiteljska djelatnost na površini javne namjene na području grada Rijeke.</w:t>
      </w:r>
    </w:p>
    <w:p w:rsidR="00CC36F9" w:rsidRDefault="00CC36F9" w:rsidP="00CC36F9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 xml:space="preserve">Važeću Odluku donijelo je Gradsko vijeće Grada Rijeke na sjednici 28. rujna 2023. godine, temeljem članka 10. stavka 3. Zakona o trgovini ("Narodne novine" broj 87/08, 96/08, 116/08, 76/09, 114/11, 68/13, 30/14, 32/19, 98/19, 32/20, 33/23 i 59/26), članka 14. stavka 1. Zakona o ugostiteljskoj djelatnosti ("Narodne novine" broj 85/15, 121/16, 99/18, 25/19, 98/19, 32/20, 42/20, 126/21 i 152/24) i članka 46. Statuta Grada Rijeke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(“Službene novine Primorsko – goranske županije” broj 24/09, 11/10 i 5/13 i “Službene novine Grada Rijeke” broj 7/14, 12/17, 9/18, 11/18 – pročišćeni tekst, 2/20, 3/21i 4/25)</w:t>
      </w:r>
      <w:r>
        <w:rPr>
          <w:rFonts w:ascii="Arial" w:eastAsia="Arial" w:hAnsi="Arial" w:cs="Arial"/>
          <w:sz w:val="22"/>
        </w:rPr>
        <w:t>.</w:t>
      </w:r>
    </w:p>
    <w:p w:rsidR="00CC36F9" w:rsidRDefault="00CC36F9" w:rsidP="00CC36F9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>Prije svega, važno je pojasniti da se važeća Odluka nadovezuje na opći akt Grada Rijeke kojim se određuju uvjeti i postupak za postavljanje predmeta i privremenih objekata, odnosno na Pravilnik o uvjetima i postupku za postavljanje reklamnih i oglasnih predmeta, privremenih objekata i predmeta, ugostiteljskih terasa te druge opreme i uređaja na području grada Rijeke ("Službene novine Grada Rijeke" broj 14/23), kako je to izrijekom navedeno u članku 1. stavku 2. važeće Odluke. Također, važeća Odluka nadovezuje se i na Odluku o korištenju površina javne namjene i nekretnina u vlasništvu Grada Rijeke za postavu privremenih objekata, reklamnih i oglasnih predmeta te druge opreme i uređaja ("Službene novine Grada Rijeke" broj 4/19 i 14/23), kojom se uređuje sam način na koji se površina javne namjene daje na korištenje i privremeno korištenje te visina naknade.</w:t>
      </w:r>
    </w:p>
    <w:p w:rsidR="00CC36F9" w:rsidRDefault="00CC36F9" w:rsidP="00CC36F9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>Dakle, sadržaj pojmova kiosci i pokretne naprave, uvjeti za njihovo postavljanje i zone u kojima se postavljaju uređeni su navedenim Pravilnikom, dok se važeća Odluka odnosi isključivo na određivanje lokacija, i to na način da su člankom 2. određene lokacije kioska i montažnih objekata (Prilog I.), člankom 3. lokacije za stalnu prodaju putem pokretnih naprava (Prilog II.), člankom 4. lokacije za prigodnu prodaju u sklopu javnih manifestacija (Prilog III.) te člankom 5. lokacije za prodaju cvijeća i svijeća na štandovima (Prilog IV.).</w:t>
      </w:r>
    </w:p>
    <w:p w:rsidR="00CC36F9" w:rsidRDefault="00CC36F9" w:rsidP="00CC36F9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>Stručne službe Grada Rijeke u pogledu akata koji su u njihovoj nadležnosti kontinuirano prate okolnosti u praksi te predlažu izmjene i dopune općih akata u slučajevima kada se uoči da bi iste bile potrebne i svrsishodne. Tako je u razdoblju od stupanja na snagu važeće Odluke do danas uočena potreba za proširenjem kruga lokacija na kojima se mogu održavati javne manifestacije, kao i za posebnim određivanjem lokacija namijenjenih javnim manifestacijama u organizaciji mjesnih odbora, s obzirom na broj i učestalost takvih događanja te njihov značaj za život lokalne zajednice.</w:t>
      </w:r>
    </w:p>
    <w:p w:rsidR="00CC36F9" w:rsidRDefault="00CC36F9" w:rsidP="00CC36F9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>U nastavku ovog materijala stoga će se prikazati predložene izmjene koje se odnose na situacije u praksi koje je potrebno dodatno regulirati.</w:t>
      </w:r>
    </w:p>
    <w:p w:rsidR="00CC36F9" w:rsidRDefault="00CC36F9" w:rsidP="00CC36F9">
      <w:pPr>
        <w:spacing w:after="200"/>
      </w:pPr>
    </w:p>
    <w:p w:rsidR="00CC36F9" w:rsidRDefault="00CC36F9" w:rsidP="00CC36F9">
      <w:pPr>
        <w:spacing w:after="240"/>
        <w:jc w:val="both"/>
        <w:rPr>
          <w:sz w:val="24"/>
        </w:rPr>
      </w:pPr>
      <w:r>
        <w:rPr>
          <w:rFonts w:ascii="Arial" w:eastAsia="Arial" w:hAnsi="Arial" w:cs="Arial"/>
          <w:b/>
          <w:bCs/>
          <w:sz w:val="24"/>
        </w:rPr>
        <w:t xml:space="preserve">OBRAZLOŽENJE NACRTA PRIJEDLOGA ODLUKE O IZMJENI I DOPUNAMA ODLUKE O LOKACIJAMA KIOSKA I POKRETNIH NAPRAVA PUTEM KOJIH SE OBAVLJA TRGOVINA NA MALO IZVAN PRODAVAONICA I TRŽNICA I </w:t>
      </w:r>
      <w:r>
        <w:rPr>
          <w:rFonts w:ascii="Arial" w:eastAsia="Arial" w:hAnsi="Arial" w:cs="Arial"/>
          <w:b/>
          <w:bCs/>
          <w:sz w:val="24"/>
        </w:rPr>
        <w:lastRenderedPageBreak/>
        <w:t>UGOSTITELJSKA DJELATNOST NA POVRŠINI JAVNE NAMJENE NA PODRUČJU GRADA RIJEKE</w:t>
      </w:r>
    </w:p>
    <w:p w:rsidR="00CC36F9" w:rsidRDefault="00CC36F9" w:rsidP="00CC36F9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b/>
          <w:bCs/>
          <w:sz w:val="22"/>
        </w:rPr>
        <w:t xml:space="preserve">Uz članak 1. </w:t>
      </w:r>
      <w:r>
        <w:rPr>
          <w:rFonts w:ascii="Arial" w:eastAsia="Arial" w:hAnsi="Arial" w:cs="Arial"/>
          <w:sz w:val="22"/>
        </w:rPr>
        <w:t>Ovom odredbom predlaže se izmijeniti članak 4. važeće Odluke, kojim je uređeno obavljanje prigodne prodaje u sklopu javnih manifestacija, te se istodobno mijenja i dopunjuje Prilog III. koji je sastavni dio toga članka.</w:t>
      </w:r>
    </w:p>
    <w:p w:rsidR="00CC36F9" w:rsidRDefault="00CC36F9" w:rsidP="00CC36F9">
      <w:pPr>
        <w:spacing w:after="1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Predlaže se izrijekom razdvojiti lokacije na kojima se održavaju javne manifestacije od lokacija na kojima se održavaju javne manifestacije u organizaciji mjesnih odbora, na način da se prve i nadalje određuju Kartom 3., a druge novim Kartama 3.1. i 3.2., pri čemu sve karte čine sastavni dio Priloga 3. Odredba članka 4. stavka 2. važeće Odluke, prema kojoj se za vrijeme održavanja javnih manifestacija može obavljati prodaja prehrambenih proizvoda, napitaka i neprehrambenih proizvoda, ostaje sadržajno neizmijenjena i primjenjuje se na lokacije iz svih karata koje su sastavni dio Priloga 3..</w:t>
      </w:r>
    </w:p>
    <w:p w:rsidR="00CC36F9" w:rsidRDefault="00CC36F9" w:rsidP="00CC36F9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 xml:space="preserve">Dosadašnja Karta 3. zamjenjuje se novom Kartom 3., budući da se broj lokacija na kojima se mogu održavati javne manifestacije proširuje za jednu novu lokaciju. Naime, u praksi je zamijećen povećan interes organizatora za održavanjem javnih manifestacija, pri čemu postojeće lokacije određene Kartom 3. ne zadovoljavaju u potpunosti iskazane potrebe, kako u pogledu broja tako i u pogledu prostornih obilježja lokacija. Nova lokacija odnosi se na Park Nikole </w:t>
      </w:r>
      <w:proofErr w:type="spellStart"/>
      <w:r>
        <w:rPr>
          <w:rFonts w:ascii="Arial" w:eastAsia="Arial" w:hAnsi="Arial" w:cs="Arial"/>
          <w:sz w:val="22"/>
        </w:rPr>
        <w:t>Hosta</w:t>
      </w:r>
      <w:proofErr w:type="spellEnd"/>
      <w:r>
        <w:rPr>
          <w:rFonts w:ascii="Arial" w:eastAsia="Arial" w:hAnsi="Arial" w:cs="Arial"/>
          <w:sz w:val="22"/>
        </w:rPr>
        <w:t>. Uvrštavanjem nove lokacije omogućuje se održavanje većeg broja manifestacija te se istodobno postojeće lokacije rasterećuju.</w:t>
      </w:r>
    </w:p>
    <w:p w:rsidR="00CC36F9" w:rsidRDefault="00CC36F9" w:rsidP="00CC36F9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>Nadalje, u Prilog 3. dodaju se Karte 3.1. i 3.2., na kojima su prikazane lokacije za održavanje javnih manifestacija u organizaciji mjesnih odbora. Naime, mjesni odbori kao oblici mjesne samouprave redovito organiziraju manifestacije od značaja za život lokalne zajednice, koje se u pravilu održavaju na površinama javne namjene na području pojedinog mjesnog odbora, a koje dosad nisu bile obuhvaćene Kartom 3. Zasebnim grafičkim prikazom takvih lokacija postiže se veća pravna sigurnost i jednostavnost u primjeni, budući da se unaprijed i na jasan način utvrđuje na kojim se površinama takve manifestacije mogu održavati, čime se ujedno pojednostavljuje i ubrzava postupanje po zahtjevima mjesnih odbora.</w:t>
      </w:r>
    </w:p>
    <w:p w:rsidR="00CC36F9" w:rsidRDefault="00CC36F9" w:rsidP="00CC36F9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>Karte 3., 3.1. i 3.2. nalaze se u privitku Odluke i čine njezin sastavni dio.</w:t>
      </w:r>
    </w:p>
    <w:p w:rsidR="00CC36F9" w:rsidRDefault="00CC36F9" w:rsidP="00CC36F9">
      <w:pPr>
        <w:spacing w:after="1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Radi jasnoće u primjeni, predlaže se navedeni članak izmijeniti u cijelosti.</w:t>
      </w:r>
    </w:p>
    <w:p w:rsidR="00CC36F9" w:rsidRDefault="00CC36F9" w:rsidP="00CC36F9">
      <w:pPr>
        <w:spacing w:after="120"/>
        <w:jc w:val="both"/>
        <w:rPr>
          <w:rFonts w:ascii="Arial" w:eastAsia="Arial" w:hAnsi="Arial" w:cs="Arial"/>
          <w:sz w:val="22"/>
        </w:rPr>
      </w:pPr>
    </w:p>
    <w:p w:rsidR="00CC36F9" w:rsidRDefault="00CC36F9" w:rsidP="00CC36F9">
      <w:pPr>
        <w:spacing w:after="1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bCs/>
          <w:sz w:val="22"/>
        </w:rPr>
        <w:t xml:space="preserve">Uz članak 2. </w:t>
      </w:r>
      <w:r>
        <w:rPr>
          <w:rFonts w:ascii="Arial" w:eastAsia="Arial" w:hAnsi="Arial" w:cs="Arial"/>
          <w:sz w:val="22"/>
        </w:rPr>
        <w:t>Predloženom odredbom propisuje se stupanje na snagu predložene Odluke.</w:t>
      </w:r>
    </w:p>
    <w:p w:rsidR="00CC36F9" w:rsidRDefault="00CC36F9" w:rsidP="00CC36F9">
      <w:pPr>
        <w:spacing w:after="120"/>
        <w:jc w:val="both"/>
        <w:rPr>
          <w:sz w:val="22"/>
        </w:rPr>
      </w:pPr>
    </w:p>
    <w:p w:rsidR="00CC36F9" w:rsidRDefault="00CC36F9" w:rsidP="00CC36F9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>Što se tiče fiskalnog učinka predmetne Odluke, ista ne predviđa značajne promjene u prihodima i rashodima u Proračunu Grada. Naime, ovom se Odlukom određuju isključivo lokacije, dok se visina naknade za korištenje, odnosno privremeno korištenje površine javne namjene utvrđuje sukladno Odluci o korištenju površina javne namjene i nekretnina u vlasništvu Grada Rijeke za postavu privremenih objekata, reklamnih i oglasnih predmeta te druge opreme i uređaja, koja se ovim aktom ne mijenja. Eventualni porast prihoda po osnovi privremenog korištenja površine javne namjene ovisit će o interesu organizatora za korištenjem nove lokacije. Za javne manifestacije u organizaciji mjesnih odbora koje su pod pokroviteljstvom Grada ili od značaja za Grad naknada se, sukladno članku 30. stavku 1. navedene Odluke, ne plaća.</w:t>
      </w:r>
    </w:p>
    <w:p w:rsidR="007B5F48" w:rsidRDefault="007B5F48">
      <w:bookmarkStart w:id="0" w:name="_GoBack"/>
      <w:bookmarkEnd w:id="0"/>
    </w:p>
    <w:sectPr w:rsidR="007B5F4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6F9"/>
    <w:rsid w:val="000049B7"/>
    <w:rsid w:val="00013F85"/>
    <w:rsid w:val="000152C9"/>
    <w:rsid w:val="00035FD6"/>
    <w:rsid w:val="00043736"/>
    <w:rsid w:val="00056AD3"/>
    <w:rsid w:val="000D10B9"/>
    <w:rsid w:val="000E3D47"/>
    <w:rsid w:val="001025FD"/>
    <w:rsid w:val="00107D7B"/>
    <w:rsid w:val="00124F0C"/>
    <w:rsid w:val="00135AC5"/>
    <w:rsid w:val="00171CED"/>
    <w:rsid w:val="00175E07"/>
    <w:rsid w:val="00177377"/>
    <w:rsid w:val="001801FC"/>
    <w:rsid w:val="00196854"/>
    <w:rsid w:val="001B7715"/>
    <w:rsid w:val="001B7D9A"/>
    <w:rsid w:val="001C4FB2"/>
    <w:rsid w:val="001D2095"/>
    <w:rsid w:val="001F5DCE"/>
    <w:rsid w:val="0021418A"/>
    <w:rsid w:val="002266AA"/>
    <w:rsid w:val="002312B3"/>
    <w:rsid w:val="00270EA4"/>
    <w:rsid w:val="00283DF2"/>
    <w:rsid w:val="00300963"/>
    <w:rsid w:val="003152BC"/>
    <w:rsid w:val="00357020"/>
    <w:rsid w:val="003874DE"/>
    <w:rsid w:val="003D2AC9"/>
    <w:rsid w:val="003E30BB"/>
    <w:rsid w:val="00450665"/>
    <w:rsid w:val="0048263D"/>
    <w:rsid w:val="004A2377"/>
    <w:rsid w:val="004A6D25"/>
    <w:rsid w:val="004B5BE7"/>
    <w:rsid w:val="004C5458"/>
    <w:rsid w:val="004D6CF5"/>
    <w:rsid w:val="00515664"/>
    <w:rsid w:val="00542963"/>
    <w:rsid w:val="005878AB"/>
    <w:rsid w:val="005C29D1"/>
    <w:rsid w:val="005F7EA4"/>
    <w:rsid w:val="0063063A"/>
    <w:rsid w:val="006A061C"/>
    <w:rsid w:val="006C426D"/>
    <w:rsid w:val="006D73D7"/>
    <w:rsid w:val="006F3AA8"/>
    <w:rsid w:val="00781BB1"/>
    <w:rsid w:val="007871F6"/>
    <w:rsid w:val="00793E15"/>
    <w:rsid w:val="00796277"/>
    <w:rsid w:val="007A1419"/>
    <w:rsid w:val="007B5F48"/>
    <w:rsid w:val="00850CC6"/>
    <w:rsid w:val="00876B4E"/>
    <w:rsid w:val="0089420A"/>
    <w:rsid w:val="008A2FBE"/>
    <w:rsid w:val="008A3CFD"/>
    <w:rsid w:val="008A69D3"/>
    <w:rsid w:val="008B0ADA"/>
    <w:rsid w:val="008B3E7A"/>
    <w:rsid w:val="008C0D90"/>
    <w:rsid w:val="008C731E"/>
    <w:rsid w:val="00930846"/>
    <w:rsid w:val="009568FF"/>
    <w:rsid w:val="00967B2A"/>
    <w:rsid w:val="009736F6"/>
    <w:rsid w:val="00976FF0"/>
    <w:rsid w:val="009A0C76"/>
    <w:rsid w:val="009A3A36"/>
    <w:rsid w:val="009B190A"/>
    <w:rsid w:val="009F25C4"/>
    <w:rsid w:val="00A32F44"/>
    <w:rsid w:val="00A554E5"/>
    <w:rsid w:val="00A75F53"/>
    <w:rsid w:val="00AB6BA6"/>
    <w:rsid w:val="00B44BA5"/>
    <w:rsid w:val="00B461A3"/>
    <w:rsid w:val="00B559C4"/>
    <w:rsid w:val="00B56521"/>
    <w:rsid w:val="00B750B0"/>
    <w:rsid w:val="00BA623D"/>
    <w:rsid w:val="00BB0A9B"/>
    <w:rsid w:val="00BB2708"/>
    <w:rsid w:val="00BD2725"/>
    <w:rsid w:val="00C47CC8"/>
    <w:rsid w:val="00C55189"/>
    <w:rsid w:val="00C82425"/>
    <w:rsid w:val="00C87644"/>
    <w:rsid w:val="00CA34B5"/>
    <w:rsid w:val="00CB7796"/>
    <w:rsid w:val="00CC36F9"/>
    <w:rsid w:val="00CE0C87"/>
    <w:rsid w:val="00CF0A01"/>
    <w:rsid w:val="00D06153"/>
    <w:rsid w:val="00D24951"/>
    <w:rsid w:val="00D43409"/>
    <w:rsid w:val="00D47212"/>
    <w:rsid w:val="00D475C7"/>
    <w:rsid w:val="00D72372"/>
    <w:rsid w:val="00D92E60"/>
    <w:rsid w:val="00DA7E6D"/>
    <w:rsid w:val="00E21727"/>
    <w:rsid w:val="00E81EE0"/>
    <w:rsid w:val="00E830D9"/>
    <w:rsid w:val="00EF010D"/>
    <w:rsid w:val="00EF0654"/>
    <w:rsid w:val="00EF4803"/>
    <w:rsid w:val="00F322EE"/>
    <w:rsid w:val="00F47E0E"/>
    <w:rsid w:val="00F55DF8"/>
    <w:rsid w:val="00F6223E"/>
    <w:rsid w:val="00F62556"/>
    <w:rsid w:val="00F642F0"/>
    <w:rsid w:val="00F66BC1"/>
    <w:rsid w:val="00F719F4"/>
    <w:rsid w:val="00F73FEA"/>
    <w:rsid w:val="00F91ECF"/>
    <w:rsid w:val="00F9235F"/>
    <w:rsid w:val="00FB3D87"/>
    <w:rsid w:val="00FC0FE5"/>
    <w:rsid w:val="00FC33EA"/>
    <w:rsid w:val="00FD6CEF"/>
    <w:rsid w:val="00FE02EF"/>
    <w:rsid w:val="00FE4EEB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ED470-88F3-4955-AA20-86B04E67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0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Radović Lagator Smiljana</dc:creator>
  <cp:keywords/>
  <dc:description/>
  <cp:lastModifiedBy>Radović Lagator Smiljana</cp:lastModifiedBy>
  <cp:revision>1</cp:revision>
  <dcterms:created xsi:type="dcterms:W3CDTF">2026-09-23T18:30:00Z</dcterms:created>
  <dcterms:modified xsi:type="dcterms:W3CDTF">2026-09-23T18:32:00Z</dcterms:modified>
</cp:coreProperties>
</file>